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B12E2">
      <w:pPr>
        <w:jc w:val="center"/>
        <w:rPr>
          <w:rFonts w:hint="eastAsia" w:ascii="黑体" w:hAnsi="黑体" w:eastAsia="黑体"/>
          <w:spacing w:val="5400"/>
          <w:kern w:val="0"/>
          <w:sz w:val="72"/>
          <w:szCs w:val="72"/>
          <w:fitText w:val="6120" w:id="-1002136320"/>
        </w:rPr>
      </w:pPr>
    </w:p>
    <w:p w14:paraId="6031712D">
      <w:pPr>
        <w:ind w:left="0" w:leftChars="0" w:firstLine="0" w:firstLineChars="0"/>
        <w:jc w:val="center"/>
        <w:rPr>
          <w:rFonts w:hint="eastAsia" w:ascii="黑体" w:hAnsi="黑体" w:eastAsia="黑体"/>
          <w:spacing w:val="1"/>
          <w:w w:val="85"/>
          <w:kern w:val="0"/>
          <w:sz w:val="72"/>
          <w:szCs w:val="72"/>
          <w:fitText w:val="8640" w:id="934049882"/>
          <w:lang w:eastAsia="zh-CN"/>
        </w:rPr>
      </w:pPr>
    </w:p>
    <w:p w14:paraId="38425C1D">
      <w:pPr>
        <w:ind w:left="0" w:leftChars="0" w:firstLine="0" w:firstLineChars="0"/>
        <w:jc w:val="center"/>
        <w:rPr>
          <w:rFonts w:hint="eastAsia" w:ascii="黑体" w:hAnsi="黑体" w:eastAsia="黑体"/>
          <w:sz w:val="72"/>
          <w:szCs w:val="72"/>
          <w:lang w:eastAsia="zh-CN"/>
        </w:rPr>
      </w:pPr>
      <w:r>
        <w:rPr>
          <w:rFonts w:hint="eastAsia" w:ascii="黑体" w:hAnsi="黑体" w:eastAsia="黑体"/>
          <w:spacing w:val="1"/>
          <w:w w:val="92"/>
          <w:kern w:val="0"/>
          <w:sz w:val="72"/>
          <w:szCs w:val="72"/>
          <w:fitText w:val="8640" w:id="934049882"/>
          <w:lang w:eastAsia="zh-CN"/>
        </w:rPr>
        <w:t>章华高中设备搬迁项目第二</w:t>
      </w:r>
      <w:r>
        <w:rPr>
          <w:rFonts w:hint="eastAsia" w:ascii="黑体" w:hAnsi="黑体" w:eastAsia="黑体"/>
          <w:spacing w:val="30"/>
          <w:w w:val="92"/>
          <w:kern w:val="0"/>
          <w:sz w:val="72"/>
          <w:szCs w:val="72"/>
          <w:fitText w:val="8640" w:id="934049882"/>
          <w:lang w:eastAsia="zh-CN"/>
        </w:rPr>
        <w:t>次</w:t>
      </w:r>
    </w:p>
    <w:p w14:paraId="1B9193F0">
      <w:pPr>
        <w:ind w:left="0" w:leftChars="0" w:firstLine="0" w:firstLineChars="0"/>
        <w:jc w:val="both"/>
        <w:outlineLvl w:val="0"/>
        <w:rPr>
          <w:rFonts w:hint="eastAsia" w:ascii="黑体" w:hAnsi="黑体" w:eastAsia="黑体"/>
          <w:sz w:val="72"/>
          <w:szCs w:val="72"/>
        </w:rPr>
      </w:pPr>
      <w:bookmarkStart w:id="0" w:name="_Toc10813"/>
      <w:bookmarkStart w:id="1" w:name="_Toc30221"/>
      <w:bookmarkStart w:id="2" w:name="_Toc17282"/>
      <w:bookmarkStart w:id="3" w:name="_Toc2142"/>
    </w:p>
    <w:p w14:paraId="028B0E1E">
      <w:pPr>
        <w:ind w:left="0" w:leftChars="0" w:firstLine="0" w:firstLineChars="0"/>
        <w:jc w:val="center"/>
        <w:outlineLvl w:val="0"/>
        <w:rPr>
          <w:rFonts w:ascii="黑体" w:hAnsi="黑体" w:eastAsia="黑体"/>
          <w:sz w:val="72"/>
          <w:szCs w:val="72"/>
        </w:rPr>
      </w:pPr>
      <w:r>
        <w:rPr>
          <w:rFonts w:hint="eastAsia" w:ascii="黑体" w:hAnsi="黑体" w:eastAsia="黑体"/>
          <w:sz w:val="72"/>
          <w:szCs w:val="72"/>
        </w:rPr>
        <w:t>竞争性磋商文件</w:t>
      </w:r>
      <w:bookmarkEnd w:id="0"/>
      <w:bookmarkEnd w:id="1"/>
      <w:bookmarkEnd w:id="2"/>
      <w:bookmarkEnd w:id="3"/>
    </w:p>
    <w:p w14:paraId="67E18B88">
      <w:pPr>
        <w:jc w:val="center"/>
        <w:rPr>
          <w:rFonts w:ascii="黑体" w:hAnsi="黑体" w:eastAsia="黑体"/>
          <w:sz w:val="44"/>
          <w:szCs w:val="44"/>
        </w:rPr>
      </w:pPr>
    </w:p>
    <w:p w14:paraId="00C0BCAE">
      <w:pPr>
        <w:ind w:left="0" w:leftChars="0" w:firstLine="0" w:firstLineChars="0"/>
        <w:jc w:val="both"/>
        <w:rPr>
          <w:rFonts w:ascii="黑体" w:hAnsi="黑体" w:eastAsia="黑体"/>
          <w:sz w:val="72"/>
          <w:szCs w:val="72"/>
        </w:rPr>
      </w:pPr>
    </w:p>
    <w:p w14:paraId="0185E58E">
      <w:pPr>
        <w:ind w:left="0" w:leftChars="0" w:firstLine="0" w:firstLineChars="0"/>
        <w:jc w:val="center"/>
        <w:rPr>
          <w:rFonts w:ascii="黑体" w:hAnsi="黑体" w:eastAsia="黑体"/>
          <w:sz w:val="32"/>
          <w:szCs w:val="32"/>
        </w:rPr>
      </w:pPr>
      <w:r>
        <w:rPr>
          <w:rFonts w:hint="eastAsia" w:ascii="黑体" w:hAnsi="黑体" w:eastAsia="黑体"/>
          <w:color w:val="auto"/>
          <w:sz w:val="32"/>
          <w:szCs w:val="32"/>
        </w:rPr>
        <w:t>项目编号</w:t>
      </w:r>
      <w:r>
        <w:rPr>
          <w:rFonts w:hint="eastAsia" w:ascii="黑体" w:hAnsi="黑体" w:eastAsia="黑体"/>
          <w:color w:val="auto"/>
          <w:sz w:val="32"/>
          <w:szCs w:val="32"/>
          <w:lang w:eastAsia="zh-CN"/>
        </w:rPr>
        <w:t>：</w:t>
      </w:r>
      <w:r>
        <w:rPr>
          <w:rFonts w:hint="eastAsia" w:ascii="黑体" w:hAnsi="黑体" w:eastAsia="黑体"/>
          <w:color w:val="auto"/>
          <w:sz w:val="32"/>
          <w:szCs w:val="32"/>
          <w:u w:val="none"/>
          <w:lang w:val="en-US" w:eastAsia="zh-CN"/>
        </w:rPr>
        <w:t>QJKZ-2025-Z014_二</w:t>
      </w:r>
    </w:p>
    <w:p w14:paraId="12846D1C">
      <w:pPr>
        <w:rPr>
          <w:rFonts w:ascii="黑体" w:hAnsi="黑体" w:eastAsia="黑体"/>
        </w:rPr>
      </w:pPr>
    </w:p>
    <w:p w14:paraId="4D1C1E50">
      <w:pPr>
        <w:rPr>
          <w:rFonts w:ascii="黑体" w:hAnsi="黑体" w:eastAsia="黑体"/>
        </w:rPr>
      </w:pPr>
    </w:p>
    <w:p w14:paraId="1239E9E6">
      <w:pPr>
        <w:pStyle w:val="10"/>
        <w:rPr>
          <w:rFonts w:ascii="黑体" w:hAnsi="黑体" w:eastAsia="黑体"/>
        </w:rPr>
      </w:pPr>
    </w:p>
    <w:p w14:paraId="117E6759">
      <w:pPr>
        <w:pStyle w:val="6"/>
      </w:pPr>
    </w:p>
    <w:p w14:paraId="36C36F52"/>
    <w:p w14:paraId="3786E7DF">
      <w:pPr>
        <w:pStyle w:val="10"/>
      </w:pPr>
    </w:p>
    <w:p w14:paraId="55497460">
      <w:pPr>
        <w:pStyle w:val="6"/>
      </w:pPr>
    </w:p>
    <w:p w14:paraId="41AAFE70"/>
    <w:p w14:paraId="19B94D36">
      <w:pPr>
        <w:rPr>
          <w:rFonts w:ascii="黑体" w:hAnsi="黑体" w:eastAsia="黑体"/>
        </w:rPr>
      </w:pPr>
    </w:p>
    <w:p w14:paraId="13E2F2F4">
      <w:pPr>
        <w:jc w:val="cente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采购人或采购代理机构：（盖单位章）</w:t>
      </w:r>
    </w:p>
    <w:p w14:paraId="1470FDCF">
      <w:pPr>
        <w:pStyle w:val="10"/>
        <w:rPr>
          <w:rFonts w:hint="eastAsia"/>
          <w:lang w:val="en-US" w:eastAsia="zh-CN"/>
        </w:rPr>
      </w:pPr>
    </w:p>
    <w:p w14:paraId="53E61121">
      <w:pPr>
        <w:jc w:val="center"/>
        <w:rPr>
          <w:rFonts w:ascii="黑体" w:hAnsi="黑体" w:eastAsia="黑体"/>
          <w:color w:val="auto"/>
          <w:sz w:val="32"/>
          <w:szCs w:val="32"/>
        </w:rPr>
      </w:pPr>
      <w:r>
        <w:rPr>
          <w:rFonts w:hint="eastAsia" w:ascii="黑体" w:hAnsi="黑体" w:eastAsia="黑体"/>
          <w:color w:val="auto"/>
          <w:sz w:val="32"/>
          <w:szCs w:val="32"/>
          <w:lang w:val="en-US" w:eastAsia="zh-CN"/>
        </w:rPr>
        <w:t>2025</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06</w:t>
      </w:r>
      <w:r>
        <w:rPr>
          <w:rFonts w:hint="eastAsia" w:ascii="黑体" w:hAnsi="黑体" w:eastAsia="黑体"/>
          <w:color w:val="auto"/>
          <w:sz w:val="32"/>
          <w:szCs w:val="32"/>
        </w:rPr>
        <w:t>月</w:t>
      </w:r>
    </w:p>
    <w:p w14:paraId="07A6B7B2">
      <w:pPr>
        <w:rPr>
          <w:rFonts w:ascii="黑体" w:hAnsi="黑体" w:eastAsia="黑体"/>
          <w:sz w:val="32"/>
          <w:szCs w:val="32"/>
        </w:rPr>
      </w:pPr>
    </w:p>
    <w:p w14:paraId="7864F077">
      <w:pPr>
        <w:rPr>
          <w:rFonts w:ascii="黑体" w:hAnsi="黑体" w:eastAsia="黑体"/>
          <w:sz w:val="32"/>
          <w:szCs w:val="32"/>
        </w:rPr>
      </w:pPr>
      <w:r>
        <w:rPr>
          <w:rFonts w:ascii="黑体" w:hAnsi="黑体" w:eastAsia="黑体"/>
          <w:sz w:val="32"/>
          <w:szCs w:val="32"/>
        </w:rPr>
        <w:br w:type="page"/>
      </w:r>
    </w:p>
    <w:p w14:paraId="10157DAB">
      <w:pPr>
        <w:widowControl/>
        <w:spacing w:line="360" w:lineRule="auto"/>
        <w:jc w:val="center"/>
        <w:outlineLvl w:val="0"/>
        <w:rPr>
          <w:rFonts w:hint="eastAsia" w:ascii="楷体_GB2312" w:hAnsi="宋体" w:eastAsia="楷体_GB2312"/>
          <w:b/>
          <w:color w:val="auto"/>
          <w:sz w:val="32"/>
        </w:rPr>
      </w:pPr>
      <w:r>
        <w:rPr>
          <w:rFonts w:hint="eastAsia" w:ascii="楷体_GB2312" w:hAnsi="宋体" w:eastAsia="楷体_GB2312"/>
          <w:b/>
          <w:color w:val="auto"/>
          <w:sz w:val="32"/>
          <w:lang w:val="en-US" w:eastAsia="zh-CN"/>
        </w:rPr>
        <w:t>采购</w:t>
      </w:r>
      <w:r>
        <w:rPr>
          <w:rFonts w:hint="eastAsia" w:ascii="楷体_GB2312" w:hAnsi="宋体" w:eastAsia="楷体_GB2312"/>
          <w:b/>
          <w:color w:val="auto"/>
          <w:sz w:val="32"/>
        </w:rPr>
        <w:t>文件审查确认表</w:t>
      </w:r>
    </w:p>
    <w:p w14:paraId="58818279">
      <w:pPr>
        <w:pStyle w:val="25"/>
      </w:pP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43B2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2" w:hRule="atLeast"/>
          <w:jc w:val="center"/>
        </w:trPr>
        <w:tc>
          <w:tcPr>
            <w:tcW w:w="9000" w:type="dxa"/>
            <w:vAlign w:val="top"/>
          </w:tcPr>
          <w:p w14:paraId="61247990">
            <w:pPr>
              <w:adjustRightInd w:val="0"/>
              <w:snapToGrid w:val="0"/>
              <w:spacing w:line="360" w:lineRule="auto"/>
              <w:rPr>
                <w:rFonts w:hint="eastAsia" w:ascii="宋体" w:hAnsi="宋体" w:cs="宋体"/>
                <w:color w:val="auto"/>
                <w:sz w:val="28"/>
                <w:szCs w:val="28"/>
                <w:u w:val="single"/>
                <w:lang w:val="en-US" w:eastAsia="zh-CN"/>
              </w:rPr>
            </w:pPr>
          </w:p>
          <w:p w14:paraId="56FE8918">
            <w:pPr>
              <w:adjustRightInd w:val="0"/>
              <w:snapToGrid w:val="0"/>
              <w:spacing w:line="360" w:lineRule="auto"/>
              <w:ind w:left="0" w:leftChars="0" w:firstLine="0" w:firstLineChars="0"/>
              <w:jc w:val="both"/>
              <w:rPr>
                <w:rFonts w:hint="eastAsia" w:ascii="宋体" w:hAnsi="宋体" w:eastAsia="宋体" w:cs="宋体"/>
                <w:b/>
                <w:color w:val="auto"/>
                <w:sz w:val="28"/>
                <w:szCs w:val="28"/>
                <w:u w:val="none"/>
              </w:rPr>
            </w:pPr>
            <w:r>
              <w:rPr>
                <w:rFonts w:hint="eastAsia" w:ascii="宋体" w:hAnsi="宋体" w:cs="宋体"/>
                <w:color w:val="auto"/>
                <w:sz w:val="28"/>
                <w:szCs w:val="28"/>
                <w:u w:val="single"/>
                <w:lang w:val="en-US" w:eastAsia="zh-CN"/>
              </w:rPr>
              <w:t>潜江市章华高级中学</w:t>
            </w:r>
            <w:r>
              <w:rPr>
                <w:rFonts w:hint="eastAsia" w:ascii="宋体" w:hAnsi="宋体" w:cs="宋体"/>
                <w:color w:val="auto"/>
                <w:sz w:val="28"/>
                <w:szCs w:val="28"/>
                <w:u w:val="none"/>
                <w:lang w:val="en-US" w:eastAsia="zh-CN"/>
              </w:rPr>
              <w:t>：</w:t>
            </w:r>
          </w:p>
          <w:p w14:paraId="34D11CF8">
            <w:pPr>
              <w:widowControl/>
              <w:spacing w:line="360" w:lineRule="auto"/>
              <w:ind w:firstLine="548" w:firstLineChars="196"/>
              <w:rPr>
                <w:rFonts w:hint="eastAsia" w:ascii="宋体" w:hAnsi="宋体" w:eastAsia="宋体" w:cs="宋体"/>
                <w:b/>
                <w:color w:val="auto"/>
                <w:sz w:val="28"/>
                <w:szCs w:val="28"/>
              </w:rPr>
            </w:pPr>
            <w:r>
              <w:rPr>
                <w:rFonts w:hint="eastAsia" w:ascii="宋体" w:hAnsi="宋体" w:eastAsia="宋体" w:cs="宋体"/>
                <w:color w:val="auto"/>
                <w:sz w:val="28"/>
                <w:szCs w:val="28"/>
              </w:rPr>
              <w:t>受</w:t>
            </w:r>
            <w:r>
              <w:rPr>
                <w:rFonts w:hint="eastAsia" w:ascii="宋体" w:hAnsi="宋体" w:eastAsia="宋体" w:cs="宋体"/>
                <w:color w:val="auto"/>
                <w:sz w:val="28"/>
                <w:szCs w:val="28"/>
                <w:lang w:eastAsia="zh-CN"/>
              </w:rPr>
              <w:t>贵单位</w:t>
            </w:r>
            <w:r>
              <w:rPr>
                <w:rFonts w:hint="eastAsia" w:ascii="宋体" w:hAnsi="宋体" w:eastAsia="宋体" w:cs="宋体"/>
                <w:color w:val="auto"/>
                <w:sz w:val="28"/>
                <w:szCs w:val="28"/>
              </w:rPr>
              <w:t>的委托，由我单位承担</w:t>
            </w:r>
            <w:r>
              <w:rPr>
                <w:rFonts w:hint="eastAsia" w:ascii="宋体" w:hAnsi="宋体" w:cs="宋体"/>
                <w:color w:val="auto"/>
                <w:sz w:val="28"/>
                <w:szCs w:val="28"/>
                <w:u w:val="single"/>
                <w:lang w:val="en-US" w:eastAsia="zh-CN"/>
              </w:rPr>
              <w:t>章华高中设备搬迁项目第二次</w:t>
            </w:r>
            <w:r>
              <w:rPr>
                <w:rFonts w:hint="eastAsia" w:ascii="宋体" w:hAnsi="宋体" w:eastAsia="宋体" w:cs="宋体"/>
                <w:color w:val="auto"/>
                <w:sz w:val="28"/>
                <w:szCs w:val="28"/>
              </w:rPr>
              <w:t>招标代理工作。现根据</w:t>
            </w:r>
            <w:r>
              <w:rPr>
                <w:rFonts w:hint="eastAsia" w:ascii="宋体" w:hAnsi="宋体" w:eastAsia="宋体" w:cs="宋体"/>
                <w:color w:val="auto"/>
                <w:sz w:val="28"/>
                <w:szCs w:val="28"/>
                <w:lang w:eastAsia="zh-CN"/>
              </w:rPr>
              <w:t>贵单位</w:t>
            </w:r>
            <w:r>
              <w:rPr>
                <w:rFonts w:hint="eastAsia" w:ascii="宋体" w:hAnsi="宋体" w:eastAsia="宋体" w:cs="宋体"/>
                <w:color w:val="auto"/>
                <w:sz w:val="28"/>
                <w:szCs w:val="28"/>
              </w:rPr>
              <w:t>提供的资料，我单位已完成该项目的</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文件编制，请予以核准确认。</w:t>
            </w:r>
          </w:p>
          <w:p w14:paraId="19E209DE">
            <w:pPr>
              <w:snapToGrid w:val="0"/>
              <w:spacing w:line="360" w:lineRule="auto"/>
              <w:rPr>
                <w:rFonts w:hint="eastAsia" w:ascii="宋体" w:hAnsi="宋体" w:eastAsia="宋体" w:cs="宋体"/>
                <w:color w:val="auto"/>
                <w:sz w:val="28"/>
                <w:szCs w:val="28"/>
              </w:rPr>
            </w:pPr>
          </w:p>
          <w:p w14:paraId="6D95F16D">
            <w:pPr>
              <w:pStyle w:val="14"/>
              <w:rPr>
                <w:rFonts w:hint="eastAsia"/>
              </w:rPr>
            </w:pPr>
          </w:p>
          <w:p w14:paraId="6DAADC87">
            <w:pPr>
              <w:snapToGrid w:val="0"/>
              <w:spacing w:line="360" w:lineRule="auto"/>
              <w:ind w:firstLine="3640" w:firstLineChars="1300"/>
              <w:jc w:val="both"/>
              <w:rPr>
                <w:rFonts w:hint="eastAsia" w:ascii="宋体" w:hAnsi="宋体" w:eastAsia="宋体" w:cs="宋体"/>
                <w:color w:val="auto"/>
                <w:sz w:val="28"/>
                <w:szCs w:val="28"/>
                <w:lang w:val="en-US" w:eastAsia="zh-CN"/>
              </w:rPr>
            </w:pPr>
            <w:r>
              <w:rPr>
                <w:rFonts w:hint="eastAsia" w:ascii="宋体" w:hAnsi="宋体" w:cs="宋体"/>
                <w:color w:val="auto"/>
                <w:sz w:val="28"/>
                <w:szCs w:val="28"/>
                <w:lang w:eastAsia="zh-CN"/>
              </w:rPr>
              <w:t>采购代理机构</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盖章</w:t>
            </w:r>
            <w:r>
              <w:rPr>
                <w:rFonts w:hint="eastAsia" w:ascii="宋体" w:hAnsi="宋体" w:eastAsia="宋体" w:cs="宋体"/>
                <w:color w:val="auto"/>
                <w:sz w:val="28"/>
                <w:szCs w:val="28"/>
                <w:lang w:eastAsia="zh-CN"/>
              </w:rPr>
              <w:t>）</w:t>
            </w:r>
          </w:p>
          <w:p w14:paraId="32765DFD">
            <w:pPr>
              <w:pStyle w:val="14"/>
              <w:jc w:val="right"/>
              <w:rPr>
                <w:rFonts w:hint="eastAsia"/>
                <w:lang w:val="en-US" w:eastAsia="zh-CN"/>
              </w:rPr>
            </w:pPr>
          </w:p>
        </w:tc>
      </w:tr>
      <w:tr w14:paraId="6EA9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0" w:hRule="atLeast"/>
          <w:jc w:val="center"/>
        </w:trPr>
        <w:tc>
          <w:tcPr>
            <w:tcW w:w="9000" w:type="dxa"/>
            <w:vAlign w:val="top"/>
          </w:tcPr>
          <w:p w14:paraId="3B9B7526">
            <w:pPr>
              <w:adjustRightInd w:val="0"/>
              <w:snapToGrid w:val="0"/>
              <w:spacing w:line="360" w:lineRule="auto"/>
              <w:rPr>
                <w:rFonts w:hint="eastAsia" w:ascii="宋体" w:hAnsi="宋体" w:eastAsia="宋体" w:cs="宋体"/>
                <w:b/>
                <w:color w:val="auto"/>
                <w:szCs w:val="28"/>
              </w:rPr>
            </w:pPr>
          </w:p>
          <w:p w14:paraId="506CCE40">
            <w:pPr>
              <w:adjustRightInd w:val="0"/>
              <w:snapToGrid w:val="0"/>
              <w:spacing w:line="360" w:lineRule="auto"/>
              <w:ind w:left="0" w:leftChars="0" w:firstLine="0" w:firstLineChars="0"/>
              <w:rPr>
                <w:rFonts w:hint="eastAsia" w:ascii="宋体" w:hAnsi="宋体" w:cs="宋体"/>
                <w:color w:val="auto"/>
                <w:sz w:val="28"/>
                <w:szCs w:val="28"/>
                <w:lang w:val="en-US" w:eastAsia="zh-CN"/>
              </w:rPr>
            </w:pPr>
            <w:r>
              <w:rPr>
                <w:rFonts w:hint="eastAsia" w:ascii="宋体" w:hAnsi="宋体" w:eastAsia="宋体" w:cs="宋体"/>
                <w:b/>
                <w:color w:val="auto"/>
                <w:sz w:val="28"/>
                <w:szCs w:val="28"/>
              </w:rPr>
              <w:t>项目名称：</w:t>
            </w:r>
            <w:r>
              <w:rPr>
                <w:rFonts w:hint="eastAsia" w:ascii="宋体" w:hAnsi="宋体" w:cs="宋体"/>
                <w:color w:val="auto"/>
                <w:sz w:val="28"/>
                <w:szCs w:val="28"/>
                <w:u w:val="single"/>
                <w:lang w:val="en-US" w:eastAsia="zh-CN"/>
              </w:rPr>
              <w:t>章华高中设备搬迁项目第二次</w:t>
            </w:r>
          </w:p>
          <w:p w14:paraId="717C421B">
            <w:pPr>
              <w:adjustRightInd w:val="0"/>
              <w:snapToGrid w:val="0"/>
              <w:spacing w:line="360" w:lineRule="auto"/>
              <w:rPr>
                <w:rFonts w:hint="eastAsia" w:ascii="宋体" w:hAnsi="宋体" w:eastAsia="宋体" w:cs="宋体"/>
                <w:b/>
                <w:color w:val="auto"/>
                <w:sz w:val="28"/>
                <w:szCs w:val="28"/>
                <w:lang w:eastAsia="zh-CN"/>
              </w:rPr>
            </w:pPr>
          </w:p>
          <w:p w14:paraId="516C79FC">
            <w:pPr>
              <w:adjustRightInd w:val="0"/>
              <w:snapToGrid w:val="0"/>
              <w:spacing w:line="360" w:lineRule="auto"/>
              <w:ind w:firstLine="843" w:firstLineChars="300"/>
              <w:rPr>
                <w:rFonts w:hint="eastAsia" w:ascii="宋体" w:hAnsi="宋体" w:eastAsia="宋体" w:cs="宋体"/>
                <w:b/>
                <w:color w:val="auto"/>
                <w:sz w:val="24"/>
                <w:lang w:val="en-US" w:eastAsia="zh-CN"/>
              </w:rPr>
            </w:pPr>
            <w:r>
              <w:rPr>
                <w:rFonts w:hint="eastAsia" w:ascii="宋体" w:hAnsi="宋体" w:eastAsia="宋体" w:cs="宋体"/>
                <w:b/>
                <w:color w:val="auto"/>
                <w:sz w:val="28"/>
                <w:szCs w:val="28"/>
                <w:lang w:eastAsia="zh-CN"/>
              </w:rPr>
              <w:t>采购</w:t>
            </w:r>
            <w:r>
              <w:rPr>
                <w:rFonts w:hint="eastAsia" w:ascii="宋体" w:hAnsi="宋体" w:eastAsia="宋体" w:cs="宋体"/>
                <w:b/>
                <w:color w:val="auto"/>
                <w:sz w:val="28"/>
                <w:szCs w:val="28"/>
              </w:rPr>
              <w:t>人审查意见</w:t>
            </w:r>
            <w:r>
              <w:rPr>
                <w:rFonts w:hint="eastAsia" w:ascii="宋体" w:hAnsi="宋体" w:eastAsia="宋体" w:cs="宋体"/>
                <w:b/>
                <w:color w:val="auto"/>
                <w:sz w:val="24"/>
              </w:rPr>
              <w:t>：</w:t>
            </w:r>
          </w:p>
          <w:p w14:paraId="77275822">
            <w:pPr>
              <w:pStyle w:val="53"/>
              <w:ind w:left="0" w:leftChars="0" w:firstLine="2098" w:firstLineChars="583"/>
              <w:rPr>
                <w:rFonts w:hint="eastAsia" w:ascii="宋体" w:hAnsi="宋体" w:eastAsia="宋体" w:cs="宋体"/>
                <w:color w:val="auto"/>
                <w:sz w:val="36"/>
                <w:szCs w:val="24"/>
                <w:lang w:val="en-US" w:eastAsia="zh-CN"/>
              </w:rPr>
            </w:pPr>
          </w:p>
          <w:p w14:paraId="575A0008">
            <w:pPr>
              <w:pStyle w:val="53"/>
              <w:ind w:left="0" w:leftChars="0" w:firstLine="2098" w:firstLineChars="583"/>
              <w:rPr>
                <w:rFonts w:hint="eastAsia" w:ascii="宋体" w:hAnsi="宋体" w:eastAsia="宋体" w:cs="宋体"/>
                <w:color w:val="auto"/>
                <w:sz w:val="36"/>
                <w:szCs w:val="24"/>
                <w:lang w:val="en-US" w:eastAsia="zh-CN"/>
              </w:rPr>
            </w:pPr>
            <w:r>
              <w:rPr>
                <w:rFonts w:hint="eastAsia" w:ascii="宋体" w:hAnsi="宋体" w:eastAsia="宋体" w:cs="宋体"/>
                <w:color w:val="auto"/>
                <w:sz w:val="36"/>
                <w:szCs w:val="24"/>
                <w:lang w:val="en-US" w:eastAsia="zh-CN"/>
              </w:rPr>
              <w:t>同意！</w:t>
            </w:r>
          </w:p>
          <w:p w14:paraId="06C6994D">
            <w:pPr>
              <w:pStyle w:val="53"/>
              <w:rPr>
                <w:rFonts w:hint="eastAsia" w:ascii="宋体" w:hAnsi="宋体" w:eastAsia="宋体" w:cs="宋体"/>
                <w:color w:val="auto"/>
              </w:rPr>
            </w:pPr>
          </w:p>
          <w:p w14:paraId="225C72DF">
            <w:pPr>
              <w:pStyle w:val="53"/>
              <w:rPr>
                <w:rFonts w:hint="eastAsia" w:ascii="宋体" w:hAnsi="宋体" w:eastAsia="宋体" w:cs="宋体"/>
                <w:color w:val="auto"/>
                <w:lang w:val="en-US" w:eastAsia="zh-CN"/>
              </w:rPr>
            </w:pPr>
          </w:p>
          <w:p w14:paraId="57815318">
            <w:pPr>
              <w:spacing w:line="360" w:lineRule="auto"/>
              <w:jc w:val="center"/>
              <w:rPr>
                <w:rFonts w:hint="eastAsia" w:ascii="宋体" w:hAnsi="宋体" w:eastAsia="宋体" w:cs="宋体"/>
                <w:color w:val="auto"/>
                <w:sz w:val="30"/>
                <w:lang w:eastAsia="zh-CN"/>
              </w:rPr>
            </w:pPr>
            <w:r>
              <w:rPr>
                <w:rFonts w:hint="eastAsia" w:ascii="宋体" w:hAnsi="宋体" w:eastAsia="宋体" w:cs="宋体"/>
                <w:color w:val="auto"/>
                <w:sz w:val="30"/>
                <w:lang w:val="en-US" w:eastAsia="zh-CN"/>
              </w:rPr>
              <w:t xml:space="preserve">       </w:t>
            </w:r>
            <w:r>
              <w:rPr>
                <w:rFonts w:hint="eastAsia" w:ascii="宋体" w:hAnsi="宋体" w:eastAsia="宋体" w:cs="宋体"/>
                <w:color w:val="auto"/>
                <w:sz w:val="30"/>
                <w:lang w:eastAsia="zh-CN"/>
              </w:rPr>
              <w:t>采购</w:t>
            </w:r>
            <w:r>
              <w:rPr>
                <w:rFonts w:hint="eastAsia" w:ascii="宋体" w:hAnsi="宋体" w:eastAsia="宋体" w:cs="宋体"/>
                <w:color w:val="auto"/>
                <w:sz w:val="30"/>
              </w:rPr>
              <w:t>人：</w:t>
            </w:r>
            <w:r>
              <w:rPr>
                <w:rFonts w:hint="eastAsia" w:ascii="宋体" w:hAnsi="宋体" w:cs="宋体"/>
                <w:color w:val="auto"/>
                <w:sz w:val="30"/>
                <w:lang w:eastAsia="zh-CN"/>
              </w:rPr>
              <w:t>（</w:t>
            </w:r>
            <w:r>
              <w:rPr>
                <w:rFonts w:hint="eastAsia" w:ascii="宋体" w:hAnsi="宋体" w:eastAsia="宋体" w:cs="宋体"/>
                <w:color w:val="auto"/>
                <w:sz w:val="30"/>
              </w:rPr>
              <w:t>盖章</w:t>
            </w:r>
            <w:r>
              <w:rPr>
                <w:rFonts w:hint="eastAsia" w:ascii="宋体" w:hAnsi="宋体" w:cs="宋体"/>
                <w:color w:val="auto"/>
                <w:sz w:val="30"/>
                <w:lang w:eastAsia="zh-CN"/>
              </w:rPr>
              <w:t>）</w:t>
            </w:r>
          </w:p>
          <w:p w14:paraId="4D654806">
            <w:pPr>
              <w:spacing w:line="360" w:lineRule="auto"/>
              <w:jc w:val="both"/>
              <w:rPr>
                <w:rFonts w:hint="eastAsia" w:ascii="宋体" w:hAnsi="宋体" w:eastAsia="宋体" w:cs="宋体"/>
                <w:color w:val="auto"/>
                <w:spacing w:val="60"/>
                <w:kern w:val="24"/>
                <w:sz w:val="30"/>
              </w:rPr>
            </w:pPr>
          </w:p>
          <w:p w14:paraId="52DD831B">
            <w:pPr>
              <w:spacing w:line="360" w:lineRule="auto"/>
              <w:jc w:val="right"/>
              <w:rPr>
                <w:rFonts w:hint="eastAsia" w:ascii="宋体" w:hAnsi="宋体" w:eastAsia="宋体" w:cs="宋体"/>
                <w:color w:val="auto"/>
                <w:spacing w:val="60"/>
                <w:kern w:val="24"/>
                <w:sz w:val="32"/>
              </w:rPr>
            </w:pPr>
            <w:r>
              <w:rPr>
                <w:rFonts w:hint="eastAsia" w:cs="宋体"/>
                <w:color w:val="auto"/>
                <w:sz w:val="30"/>
                <w:lang w:val="en-US" w:eastAsia="zh-CN"/>
              </w:rPr>
              <w:t>2025年06月19日</w:t>
            </w:r>
          </w:p>
        </w:tc>
      </w:tr>
    </w:tbl>
    <w:p w14:paraId="17D62052">
      <w:pPr>
        <w:jc w:val="center"/>
        <w:rPr>
          <w:rFonts w:ascii="黑体" w:hAnsi="黑体" w:eastAsia="黑体"/>
          <w:sz w:val="32"/>
          <w:szCs w:val="32"/>
        </w:rPr>
      </w:pPr>
      <w:r>
        <w:br w:type="page"/>
      </w:r>
      <w:r>
        <w:rPr>
          <w:rFonts w:hint="eastAsia" w:ascii="黑体" w:hAnsi="黑体" w:eastAsia="黑体"/>
          <w:sz w:val="32"/>
          <w:szCs w:val="32"/>
        </w:rPr>
        <w:t>目 录</w:t>
      </w:r>
    </w:p>
    <w:sdt>
      <w:sdtPr>
        <w:rPr>
          <w:rFonts w:ascii="宋体" w:hAnsi="宋体" w:eastAsia="宋体" w:cstheme="minorBidi"/>
          <w:kern w:val="2"/>
          <w:sz w:val="21"/>
          <w:szCs w:val="22"/>
          <w:lang w:val="en-US" w:eastAsia="zh-CN" w:bidi="ar-SA"/>
        </w:rPr>
        <w:id w:val="147452211"/>
        <w15:color w:val="DBDBDB"/>
        <w:docPartObj>
          <w:docPartGallery w:val="Table of Contents"/>
          <w:docPartUnique/>
        </w:docPartObj>
      </w:sdtPr>
      <w:sdtEndPr>
        <w:rPr>
          <w:rFonts w:ascii="黑体" w:hAnsi="黑体" w:eastAsia="黑体" w:cstheme="minorBidi"/>
          <w:kern w:val="2"/>
          <w:sz w:val="24"/>
          <w:szCs w:val="32"/>
          <w:lang w:val="en-US" w:eastAsia="zh-CN" w:bidi="ar-SA"/>
        </w:rPr>
      </w:sdtEndPr>
      <w:sdtContent>
        <w:p w14:paraId="28C7C5B5">
          <w:pPr>
            <w:spacing w:before="0" w:beforeLines="0" w:after="0" w:afterLines="0" w:line="240" w:lineRule="auto"/>
            <w:ind w:left="0" w:leftChars="0" w:right="0" w:rightChars="0" w:firstLine="0" w:firstLineChars="0"/>
            <w:jc w:val="center"/>
          </w:pPr>
        </w:p>
        <w:p w14:paraId="62E9CC2E">
          <w:pPr>
            <w:pStyle w:val="51"/>
            <w:tabs>
              <w:tab w:val="right" w:leader="dot" w:pos="8306"/>
            </w:tabs>
          </w:pPr>
          <w:r>
            <w:rPr>
              <w:rFonts w:ascii="黑体" w:hAnsi="黑体" w:eastAsia="黑体"/>
              <w:sz w:val="32"/>
              <w:szCs w:val="32"/>
            </w:rPr>
            <w:fldChar w:fldCharType="begin"/>
          </w:r>
          <w:r>
            <w:rPr>
              <w:rFonts w:ascii="黑体" w:hAnsi="黑体" w:eastAsia="黑体"/>
              <w:sz w:val="32"/>
              <w:szCs w:val="32"/>
            </w:rPr>
            <w:instrText xml:space="preserve">TOC \o "1-1" \h \u </w:instrText>
          </w:r>
          <w:r>
            <w:rPr>
              <w:rFonts w:ascii="黑体" w:hAnsi="黑体" w:eastAsia="黑体"/>
              <w:sz w:val="32"/>
              <w:szCs w:val="32"/>
            </w:rPr>
            <w:fldChar w:fldCharType="separate"/>
          </w:r>
          <w:r>
            <w:rPr>
              <w:rFonts w:ascii="黑体" w:hAnsi="黑体" w:eastAsia="黑体"/>
              <w:szCs w:val="32"/>
            </w:rPr>
            <w:fldChar w:fldCharType="begin"/>
          </w:r>
          <w:r>
            <w:rPr>
              <w:rFonts w:ascii="黑体" w:hAnsi="黑体" w:eastAsia="黑体"/>
              <w:szCs w:val="32"/>
            </w:rPr>
            <w:instrText xml:space="preserve"> HYPERLINK \l _Toc30221 </w:instrText>
          </w:r>
          <w:r>
            <w:rPr>
              <w:rFonts w:ascii="黑体" w:hAnsi="黑体" w:eastAsia="黑体"/>
              <w:szCs w:val="32"/>
            </w:rPr>
            <w:fldChar w:fldCharType="separate"/>
          </w:r>
          <w:r>
            <w:rPr>
              <w:rFonts w:hint="eastAsia" w:ascii="黑体" w:hAnsi="黑体" w:eastAsia="黑体"/>
              <w:szCs w:val="72"/>
            </w:rPr>
            <w:t>竞争性磋商文件</w:t>
          </w:r>
          <w:r>
            <w:tab/>
          </w:r>
          <w:r>
            <w:fldChar w:fldCharType="begin"/>
          </w:r>
          <w:r>
            <w:instrText xml:space="preserve"> PAGEREF _Toc30221 \h </w:instrText>
          </w:r>
          <w:r>
            <w:fldChar w:fldCharType="separate"/>
          </w:r>
          <w:r>
            <w:t>1</w:t>
          </w:r>
          <w:r>
            <w:fldChar w:fldCharType="end"/>
          </w:r>
          <w:r>
            <w:rPr>
              <w:rFonts w:ascii="黑体" w:hAnsi="黑体" w:eastAsia="黑体"/>
              <w:szCs w:val="32"/>
            </w:rPr>
            <w:fldChar w:fldCharType="end"/>
          </w:r>
        </w:p>
        <w:p w14:paraId="71642B27">
          <w:pPr>
            <w:pStyle w:val="51"/>
            <w:tabs>
              <w:tab w:val="right" w:leader="dot" w:pos="8306"/>
            </w:tabs>
          </w:pPr>
          <w:r>
            <w:rPr>
              <w:rFonts w:ascii="黑体" w:hAnsi="黑体" w:eastAsia="黑体"/>
              <w:szCs w:val="32"/>
            </w:rPr>
            <w:fldChar w:fldCharType="begin"/>
          </w:r>
          <w:r>
            <w:rPr>
              <w:rFonts w:ascii="黑体" w:hAnsi="黑体" w:eastAsia="黑体"/>
              <w:szCs w:val="32"/>
            </w:rPr>
            <w:instrText xml:space="preserve"> HYPERLINK \l _Toc7850 </w:instrText>
          </w:r>
          <w:r>
            <w:rPr>
              <w:rFonts w:ascii="黑体" w:hAnsi="黑体" w:eastAsia="黑体"/>
              <w:szCs w:val="32"/>
            </w:rPr>
            <w:fldChar w:fldCharType="separate"/>
          </w:r>
          <w:r>
            <w:rPr>
              <w:rFonts w:hint="eastAsia"/>
            </w:rPr>
            <w:t>第一章 磋商邀请</w:t>
          </w:r>
          <w:r>
            <w:tab/>
          </w:r>
          <w:r>
            <w:fldChar w:fldCharType="begin"/>
          </w:r>
          <w:r>
            <w:instrText xml:space="preserve"> PAGEREF _Toc7850 \h </w:instrText>
          </w:r>
          <w:r>
            <w:fldChar w:fldCharType="separate"/>
          </w:r>
          <w:r>
            <w:t>1</w:t>
          </w:r>
          <w:r>
            <w:fldChar w:fldCharType="end"/>
          </w:r>
          <w:r>
            <w:rPr>
              <w:rFonts w:ascii="黑体" w:hAnsi="黑体" w:eastAsia="黑体"/>
              <w:szCs w:val="32"/>
            </w:rPr>
            <w:fldChar w:fldCharType="end"/>
          </w:r>
        </w:p>
        <w:p w14:paraId="7CD72BB1">
          <w:pPr>
            <w:pStyle w:val="51"/>
            <w:tabs>
              <w:tab w:val="right" w:leader="dot" w:pos="8306"/>
            </w:tabs>
          </w:pPr>
          <w:r>
            <w:rPr>
              <w:rFonts w:ascii="黑体" w:hAnsi="黑体" w:eastAsia="黑体"/>
              <w:szCs w:val="32"/>
            </w:rPr>
            <w:fldChar w:fldCharType="begin"/>
          </w:r>
          <w:r>
            <w:rPr>
              <w:rFonts w:ascii="黑体" w:hAnsi="黑体" w:eastAsia="黑体"/>
              <w:szCs w:val="32"/>
            </w:rPr>
            <w:instrText xml:space="preserve"> HYPERLINK \l _Toc26796 </w:instrText>
          </w:r>
          <w:r>
            <w:rPr>
              <w:rFonts w:ascii="黑体" w:hAnsi="黑体" w:eastAsia="黑体"/>
              <w:szCs w:val="32"/>
            </w:rPr>
            <w:fldChar w:fldCharType="separate"/>
          </w:r>
          <w:r>
            <w:rPr>
              <w:rFonts w:hint="eastAsia"/>
            </w:rPr>
            <w:t>第二章 供应商须知</w:t>
          </w:r>
          <w:r>
            <w:tab/>
          </w:r>
          <w:r>
            <w:fldChar w:fldCharType="begin"/>
          </w:r>
          <w:r>
            <w:instrText xml:space="preserve"> PAGEREF _Toc26796 \h </w:instrText>
          </w:r>
          <w:r>
            <w:fldChar w:fldCharType="separate"/>
          </w:r>
          <w:r>
            <w:t>4</w:t>
          </w:r>
          <w:r>
            <w:fldChar w:fldCharType="end"/>
          </w:r>
          <w:r>
            <w:rPr>
              <w:rFonts w:ascii="黑体" w:hAnsi="黑体" w:eastAsia="黑体"/>
              <w:szCs w:val="32"/>
            </w:rPr>
            <w:fldChar w:fldCharType="end"/>
          </w:r>
        </w:p>
        <w:p w14:paraId="53E66D82">
          <w:pPr>
            <w:pStyle w:val="51"/>
            <w:tabs>
              <w:tab w:val="right" w:leader="dot" w:pos="8306"/>
            </w:tabs>
          </w:pPr>
          <w:r>
            <w:rPr>
              <w:rFonts w:ascii="黑体" w:hAnsi="黑体" w:eastAsia="黑体"/>
              <w:szCs w:val="32"/>
            </w:rPr>
            <w:fldChar w:fldCharType="begin"/>
          </w:r>
          <w:r>
            <w:rPr>
              <w:rFonts w:ascii="黑体" w:hAnsi="黑体" w:eastAsia="黑体"/>
              <w:szCs w:val="32"/>
            </w:rPr>
            <w:instrText xml:space="preserve"> HYPERLINK \l _Toc18697 </w:instrText>
          </w:r>
          <w:r>
            <w:rPr>
              <w:rFonts w:ascii="黑体" w:hAnsi="黑体" w:eastAsia="黑体"/>
              <w:szCs w:val="32"/>
            </w:rPr>
            <w:fldChar w:fldCharType="separate"/>
          </w:r>
          <w:r>
            <w:rPr>
              <w:rFonts w:hint="eastAsia"/>
            </w:rPr>
            <w:t>第三章 项目采购需求</w:t>
          </w:r>
          <w:r>
            <w:tab/>
          </w:r>
          <w:r>
            <w:fldChar w:fldCharType="begin"/>
          </w:r>
          <w:r>
            <w:instrText xml:space="preserve"> PAGEREF _Toc18697 \h </w:instrText>
          </w:r>
          <w:r>
            <w:fldChar w:fldCharType="separate"/>
          </w:r>
          <w:r>
            <w:t>27</w:t>
          </w:r>
          <w:r>
            <w:fldChar w:fldCharType="end"/>
          </w:r>
          <w:r>
            <w:rPr>
              <w:rFonts w:ascii="黑体" w:hAnsi="黑体" w:eastAsia="黑体"/>
              <w:szCs w:val="32"/>
            </w:rPr>
            <w:fldChar w:fldCharType="end"/>
          </w:r>
        </w:p>
        <w:p w14:paraId="32B51C69">
          <w:pPr>
            <w:pStyle w:val="51"/>
            <w:tabs>
              <w:tab w:val="right" w:leader="dot" w:pos="8306"/>
            </w:tabs>
          </w:pPr>
          <w:r>
            <w:rPr>
              <w:rFonts w:ascii="黑体" w:hAnsi="黑体" w:eastAsia="黑体"/>
              <w:szCs w:val="32"/>
            </w:rPr>
            <w:fldChar w:fldCharType="begin"/>
          </w:r>
          <w:r>
            <w:rPr>
              <w:rFonts w:ascii="黑体" w:hAnsi="黑体" w:eastAsia="黑体"/>
              <w:szCs w:val="32"/>
            </w:rPr>
            <w:instrText xml:space="preserve"> HYPERLINK \l _Toc3832 </w:instrText>
          </w:r>
          <w:r>
            <w:rPr>
              <w:rFonts w:ascii="黑体" w:hAnsi="黑体" w:eastAsia="黑体"/>
              <w:szCs w:val="32"/>
            </w:rPr>
            <w:fldChar w:fldCharType="separate"/>
          </w:r>
          <w:r>
            <w:rPr>
              <w:rFonts w:hint="eastAsia"/>
            </w:rPr>
            <w:t>第四章 评审办法及标准</w:t>
          </w:r>
          <w:r>
            <w:tab/>
          </w:r>
          <w:r>
            <w:fldChar w:fldCharType="begin"/>
          </w:r>
          <w:r>
            <w:instrText xml:space="preserve"> PAGEREF _Toc3832 \h </w:instrText>
          </w:r>
          <w:r>
            <w:fldChar w:fldCharType="separate"/>
          </w:r>
          <w:r>
            <w:t>31</w:t>
          </w:r>
          <w:r>
            <w:fldChar w:fldCharType="end"/>
          </w:r>
          <w:r>
            <w:rPr>
              <w:rFonts w:ascii="黑体" w:hAnsi="黑体" w:eastAsia="黑体"/>
              <w:szCs w:val="32"/>
            </w:rPr>
            <w:fldChar w:fldCharType="end"/>
          </w:r>
        </w:p>
        <w:p w14:paraId="63A3AC85">
          <w:pPr>
            <w:pStyle w:val="51"/>
            <w:tabs>
              <w:tab w:val="right" w:leader="dot" w:pos="8306"/>
            </w:tabs>
          </w:pPr>
          <w:r>
            <w:rPr>
              <w:rFonts w:ascii="黑体" w:hAnsi="黑体" w:eastAsia="黑体"/>
              <w:szCs w:val="32"/>
            </w:rPr>
            <w:fldChar w:fldCharType="begin"/>
          </w:r>
          <w:r>
            <w:rPr>
              <w:rFonts w:ascii="黑体" w:hAnsi="黑体" w:eastAsia="黑体"/>
              <w:szCs w:val="32"/>
            </w:rPr>
            <w:instrText xml:space="preserve"> HYPERLINK \l _Toc24964 </w:instrText>
          </w:r>
          <w:r>
            <w:rPr>
              <w:rFonts w:ascii="黑体" w:hAnsi="黑体" w:eastAsia="黑体"/>
              <w:szCs w:val="32"/>
            </w:rPr>
            <w:fldChar w:fldCharType="separate"/>
          </w:r>
          <w:r>
            <w:rPr>
              <w:rFonts w:hint="eastAsia"/>
            </w:rPr>
            <w:t>第五章 合同草案</w:t>
          </w:r>
          <w:r>
            <w:tab/>
          </w:r>
          <w:r>
            <w:fldChar w:fldCharType="begin"/>
          </w:r>
          <w:r>
            <w:instrText xml:space="preserve"> PAGEREF _Toc24964 \h </w:instrText>
          </w:r>
          <w:r>
            <w:fldChar w:fldCharType="separate"/>
          </w:r>
          <w:r>
            <w:t>43</w:t>
          </w:r>
          <w:r>
            <w:fldChar w:fldCharType="end"/>
          </w:r>
          <w:r>
            <w:rPr>
              <w:rFonts w:ascii="黑体" w:hAnsi="黑体" w:eastAsia="黑体"/>
              <w:szCs w:val="32"/>
            </w:rPr>
            <w:fldChar w:fldCharType="end"/>
          </w:r>
        </w:p>
        <w:p w14:paraId="4DAEF778">
          <w:pPr>
            <w:pStyle w:val="51"/>
            <w:tabs>
              <w:tab w:val="right" w:leader="dot" w:pos="8306"/>
            </w:tabs>
          </w:pPr>
          <w:r>
            <w:rPr>
              <w:rFonts w:ascii="黑体" w:hAnsi="黑体" w:eastAsia="黑体"/>
              <w:szCs w:val="32"/>
            </w:rPr>
            <w:fldChar w:fldCharType="begin"/>
          </w:r>
          <w:r>
            <w:rPr>
              <w:rFonts w:ascii="黑体" w:hAnsi="黑体" w:eastAsia="黑体"/>
              <w:szCs w:val="32"/>
            </w:rPr>
            <w:instrText xml:space="preserve"> HYPERLINK \l _Toc12421 </w:instrText>
          </w:r>
          <w:r>
            <w:rPr>
              <w:rFonts w:ascii="黑体" w:hAnsi="黑体" w:eastAsia="黑体"/>
              <w:szCs w:val="32"/>
            </w:rPr>
            <w:fldChar w:fldCharType="separate"/>
          </w:r>
          <w:r>
            <w:rPr>
              <w:rFonts w:hint="eastAsia"/>
            </w:rPr>
            <w:t>第六章 响应文件的格式</w:t>
          </w:r>
          <w:r>
            <w:tab/>
          </w:r>
          <w:r>
            <w:fldChar w:fldCharType="begin"/>
          </w:r>
          <w:r>
            <w:instrText xml:space="preserve"> PAGEREF _Toc12421 \h </w:instrText>
          </w:r>
          <w:r>
            <w:fldChar w:fldCharType="separate"/>
          </w:r>
          <w:r>
            <w:t>48</w:t>
          </w:r>
          <w:r>
            <w:fldChar w:fldCharType="end"/>
          </w:r>
          <w:r>
            <w:rPr>
              <w:rFonts w:ascii="黑体" w:hAnsi="黑体" w:eastAsia="黑体"/>
              <w:szCs w:val="32"/>
            </w:rPr>
            <w:fldChar w:fldCharType="end"/>
          </w:r>
        </w:p>
        <w:p w14:paraId="059E9E7E">
          <w:pPr>
            <w:jc w:val="center"/>
            <w:rPr>
              <w:rFonts w:ascii="黑体" w:hAnsi="黑体" w:eastAsia="黑体"/>
              <w:sz w:val="32"/>
              <w:szCs w:val="32"/>
            </w:rPr>
          </w:pPr>
          <w:r>
            <w:rPr>
              <w:rFonts w:ascii="黑体" w:hAnsi="黑体" w:eastAsia="黑体"/>
              <w:szCs w:val="32"/>
            </w:rPr>
            <w:fldChar w:fldCharType="end"/>
          </w:r>
        </w:p>
      </w:sdtContent>
    </w:sdt>
    <w:p w14:paraId="428934F3">
      <w:pPr>
        <w:jc w:val="center"/>
        <w:rPr>
          <w:rFonts w:ascii="黑体" w:hAnsi="黑体" w:eastAsia="黑体"/>
          <w:sz w:val="32"/>
          <w:szCs w:val="32"/>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510DF4">
      <w:pPr>
        <w:pStyle w:val="2"/>
        <w:keepNext/>
        <w:keepLines/>
        <w:pageBreakBefore w:val="0"/>
        <w:widowControl w:val="0"/>
        <w:numPr>
          <w:ilvl w:val="0"/>
          <w:numId w:val="1"/>
        </w:numPr>
        <w:kinsoku/>
        <w:wordWrap/>
        <w:overflowPunct/>
        <w:topLinePunct w:val="0"/>
        <w:autoSpaceDE/>
        <w:autoSpaceDN/>
        <w:bidi w:val="0"/>
        <w:adjustRightInd/>
        <w:snapToGrid/>
        <w:ind w:left="0"/>
        <w:textAlignment w:val="auto"/>
      </w:pPr>
      <w:bookmarkStart w:id="4" w:name="_Toc163493599"/>
      <w:bookmarkStart w:id="5" w:name="_Toc7850"/>
      <w:bookmarkStart w:id="6" w:name="_Toc31793"/>
      <w:bookmarkStart w:id="7" w:name="_Toc8885"/>
      <w:bookmarkStart w:id="8" w:name="_Toc19245"/>
      <w:bookmarkStart w:id="9" w:name="_Toc27064"/>
      <w:r>
        <w:rPr>
          <w:rFonts w:hint="eastAsia"/>
        </w:rPr>
        <w:t>磋商邀请</w:t>
      </w:r>
      <w:bookmarkEnd w:id="4"/>
      <w:bookmarkEnd w:id="5"/>
      <w:bookmarkEnd w:id="6"/>
      <w:bookmarkEnd w:id="7"/>
      <w:bookmarkEnd w:id="8"/>
      <w:bookmarkEnd w:id="9"/>
    </w:p>
    <w:tbl>
      <w:tblPr>
        <w:tblStyle w:val="26"/>
        <w:tblpPr w:leftFromText="180" w:rightFromText="180" w:vertAnchor="text" w:horzAnchor="page" w:tblpX="1820" w:tblpY="2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CB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9420" w:type="dxa"/>
            <w:noWrap w:val="0"/>
            <w:vAlign w:val="top"/>
          </w:tcPr>
          <w:p w14:paraId="620F61A5">
            <w:pPr>
              <w:ind w:left="0" w:leftChars="0" w:firstLine="0" w:firstLineChars="0"/>
              <w:rPr>
                <w:rFonts w:hint="eastAsia"/>
                <w:b/>
                <w:bCs/>
                <w:color w:val="auto"/>
              </w:rPr>
            </w:pPr>
            <w:r>
              <w:rPr>
                <w:rFonts w:hint="eastAsia"/>
                <w:b/>
                <w:bCs/>
                <w:color w:val="auto"/>
              </w:rPr>
              <w:t>【项目概况】</w:t>
            </w:r>
          </w:p>
          <w:p w14:paraId="012749BE">
            <w:pPr>
              <w:ind w:firstLine="480" w:firstLineChars="200"/>
              <w:rPr>
                <w:rFonts w:hint="eastAsia"/>
                <w:color w:val="auto"/>
              </w:rPr>
            </w:pPr>
            <w:r>
              <w:rPr>
                <w:rFonts w:hint="eastAsia"/>
                <w:color w:val="auto"/>
                <w:u w:val="single"/>
                <w:lang w:eastAsia="zh-CN"/>
              </w:rPr>
              <w:t>章华高中设备搬迁项目第二次</w:t>
            </w:r>
            <w:r>
              <w:rPr>
                <w:rFonts w:hint="eastAsia"/>
                <w:color w:val="auto"/>
              </w:rPr>
              <w:t>采购项目的潜在供应商应在</w:t>
            </w:r>
            <w:r>
              <w:rPr>
                <w:rFonts w:hint="eastAsia"/>
                <w:color w:val="auto"/>
                <w:u w:val="single"/>
                <w:lang w:eastAsia="zh-CN"/>
              </w:rPr>
              <w:t>潜江市鲲展工程项目管理有限公司</w:t>
            </w:r>
            <w:r>
              <w:rPr>
                <w:rFonts w:hint="eastAsia"/>
                <w:color w:val="auto"/>
                <w:u w:val="single"/>
              </w:rPr>
              <w:t>（</w:t>
            </w:r>
            <w:r>
              <w:rPr>
                <w:rFonts w:hint="eastAsia" w:ascii="宋体" w:hAnsi="宋体" w:eastAsia="宋体" w:cs="Times New Roman"/>
                <w:color w:val="auto"/>
                <w:u w:val="single"/>
                <w:lang w:eastAsia="zh-CN"/>
              </w:rPr>
              <w:t>潜江市园林街道办事处章华南路10号</w:t>
            </w:r>
            <w:r>
              <w:rPr>
                <w:rFonts w:hint="eastAsia"/>
                <w:color w:val="auto"/>
              </w:rPr>
              <w:t>）获取采购文件，并于</w:t>
            </w:r>
            <w:r>
              <w:rPr>
                <w:rFonts w:hint="eastAsia"/>
                <w:color w:val="auto"/>
                <w:u w:val="single"/>
                <w:lang w:eastAsia="zh-CN"/>
              </w:rPr>
              <w:t>2025年07月03日</w:t>
            </w:r>
            <w:r>
              <w:rPr>
                <w:rFonts w:hint="eastAsia" w:ascii="宋体" w:hAnsi="宋体"/>
                <w:color w:val="auto"/>
                <w:u w:val="single"/>
              </w:rPr>
              <w:t>09点00</w:t>
            </w:r>
            <w:r>
              <w:rPr>
                <w:rFonts w:hint="eastAsia"/>
                <w:color w:val="auto"/>
                <w:u w:val="single"/>
              </w:rPr>
              <w:t>分</w:t>
            </w:r>
            <w:r>
              <w:rPr>
                <w:rFonts w:hint="eastAsia"/>
                <w:color w:val="auto"/>
              </w:rPr>
              <w:t>（北京时间）前提交响应文件。</w:t>
            </w:r>
          </w:p>
        </w:tc>
      </w:tr>
    </w:tbl>
    <w:p w14:paraId="02D8FF2A"/>
    <w:p w14:paraId="50272900">
      <w:pPr>
        <w:pStyle w:val="3"/>
        <w:numPr>
          <w:ilvl w:val="0"/>
          <w:numId w:val="2"/>
        </w:numPr>
        <w:rPr>
          <w:sz w:val="24"/>
          <w:szCs w:val="24"/>
        </w:rPr>
      </w:pPr>
      <w:bookmarkStart w:id="10" w:name="_Toc109897422"/>
      <w:bookmarkStart w:id="11" w:name="_Toc32307"/>
      <w:bookmarkStart w:id="12" w:name="_Toc17967"/>
      <w:bookmarkStart w:id="13" w:name="_Toc109899521"/>
      <w:bookmarkStart w:id="14" w:name="_Toc13234"/>
      <w:bookmarkStart w:id="15" w:name="_Toc109900359"/>
      <w:bookmarkStart w:id="16" w:name="_Toc163493600"/>
      <w:bookmarkStart w:id="17" w:name="_Toc109899940"/>
      <w:bookmarkStart w:id="18" w:name="_Hlk517968013"/>
      <w:bookmarkStart w:id="19" w:name="_Hlk158131820"/>
      <w:r>
        <w:rPr>
          <w:rFonts w:hint="eastAsia"/>
          <w:sz w:val="24"/>
          <w:szCs w:val="24"/>
        </w:rPr>
        <w:t>项目基本情况</w:t>
      </w:r>
      <w:bookmarkEnd w:id="10"/>
      <w:bookmarkEnd w:id="11"/>
      <w:bookmarkEnd w:id="12"/>
      <w:bookmarkEnd w:id="13"/>
      <w:bookmarkEnd w:id="14"/>
      <w:bookmarkEnd w:id="15"/>
      <w:bookmarkEnd w:id="16"/>
      <w:bookmarkEnd w:id="17"/>
    </w:p>
    <w:p w14:paraId="02D552D5">
      <w:pPr>
        <w:keepNext w:val="0"/>
        <w:keepLines w:val="0"/>
        <w:pageBreakBefore w:val="0"/>
        <w:widowControl w:val="0"/>
        <w:kinsoku/>
        <w:wordWrap/>
        <w:overflowPunct/>
        <w:topLinePunct w:val="0"/>
        <w:autoSpaceDE/>
        <w:autoSpaceDN/>
        <w:bidi w:val="0"/>
        <w:ind w:firstLine="480" w:firstLineChars="200"/>
        <w:textAlignment w:val="auto"/>
        <w:rPr>
          <w:rFonts w:hint="default" w:eastAsia="宋体" w:cs="仿宋_GB2312"/>
          <w:color w:val="auto"/>
          <w:szCs w:val="24"/>
          <w:u w:val="single"/>
          <w:lang w:val="en-US" w:eastAsia="zh-CN"/>
        </w:rPr>
      </w:pPr>
      <w:r>
        <w:rPr>
          <w:rFonts w:hint="eastAsia" w:cs="仿宋_GB2312"/>
          <w:color w:val="auto"/>
          <w:lang w:val="en-US" w:eastAsia="zh-CN"/>
        </w:rPr>
        <w:t>1</w:t>
      </w:r>
      <w:r>
        <w:rPr>
          <w:rFonts w:cs="仿宋_GB2312"/>
          <w:color w:val="auto"/>
        </w:rPr>
        <w:t>.</w:t>
      </w:r>
      <w:r>
        <w:rPr>
          <w:rFonts w:hint="eastAsia" w:cs="仿宋_GB2312"/>
          <w:color w:val="auto"/>
        </w:rPr>
        <w:t>项目编号：</w:t>
      </w:r>
      <w:r>
        <w:rPr>
          <w:rFonts w:hint="eastAsia"/>
          <w:color w:val="auto"/>
          <w:u w:val="none"/>
          <w:lang w:eastAsia="zh-CN"/>
        </w:rPr>
        <w:t>QJKZ-2025-Z014_二</w:t>
      </w:r>
      <w:r>
        <w:rPr>
          <w:rFonts w:hint="eastAsia"/>
          <w:color w:val="auto"/>
          <w:u w:val="none"/>
          <w:lang w:val="en-US" w:eastAsia="zh-CN"/>
        </w:rPr>
        <w:t xml:space="preserve"> </w:t>
      </w:r>
    </w:p>
    <w:p w14:paraId="30D57D90">
      <w:pPr>
        <w:keepNext w:val="0"/>
        <w:keepLines w:val="0"/>
        <w:pageBreakBefore w:val="0"/>
        <w:widowControl w:val="0"/>
        <w:kinsoku/>
        <w:wordWrap/>
        <w:overflowPunct/>
        <w:topLinePunct w:val="0"/>
        <w:autoSpaceDE/>
        <w:autoSpaceDN/>
        <w:bidi w:val="0"/>
        <w:ind w:left="480" w:leftChars="200" w:firstLine="0" w:firstLineChars="0"/>
        <w:textAlignment w:val="auto"/>
        <w:rPr>
          <w:rFonts w:cs="仿宋_GB2312"/>
          <w:color w:val="auto"/>
          <w:u w:val="single"/>
        </w:rPr>
      </w:pPr>
      <w:r>
        <w:rPr>
          <w:rFonts w:hint="eastAsia" w:cs="仿宋_GB2312"/>
          <w:lang w:val="en-US" w:eastAsia="zh-CN"/>
        </w:rPr>
        <w:t>2</w:t>
      </w:r>
      <w:r>
        <w:rPr>
          <w:rFonts w:cs="仿宋_GB2312"/>
        </w:rPr>
        <w:t>.</w:t>
      </w:r>
      <w:r>
        <w:rPr>
          <w:rFonts w:hint="eastAsia" w:cs="仿宋_GB2312"/>
        </w:rPr>
        <w:t>项目名称</w:t>
      </w:r>
      <w:r>
        <w:rPr>
          <w:rFonts w:hint="eastAsia" w:cs="仿宋_GB2312"/>
          <w:lang w:eastAsia="zh-CN"/>
        </w:rPr>
        <w:t>：</w:t>
      </w:r>
      <w:r>
        <w:rPr>
          <w:rFonts w:hint="eastAsia"/>
          <w:color w:val="auto"/>
          <w:u w:val="none"/>
          <w:lang w:eastAsia="zh-CN"/>
        </w:rPr>
        <w:t>章华高中设备搬迁项目第二次</w:t>
      </w:r>
      <w:r>
        <w:rPr>
          <w:color w:val="auto"/>
          <w:u w:val="none"/>
        </w:rPr>
        <w:t xml:space="preserve"> </w:t>
      </w:r>
      <w:r>
        <w:rPr>
          <w:rFonts w:hint="eastAsia"/>
          <w:color w:val="auto"/>
          <w:u w:val="none"/>
          <w:lang w:val="hr-HR"/>
        </w:rPr>
        <w:t xml:space="preserve"> </w:t>
      </w:r>
    </w:p>
    <w:p w14:paraId="47EF59C5">
      <w:pPr>
        <w:keepNext w:val="0"/>
        <w:keepLines w:val="0"/>
        <w:pageBreakBefore w:val="0"/>
        <w:widowControl w:val="0"/>
        <w:kinsoku/>
        <w:wordWrap/>
        <w:overflowPunct/>
        <w:topLinePunct w:val="0"/>
        <w:autoSpaceDE/>
        <w:autoSpaceDN/>
        <w:bidi w:val="0"/>
        <w:ind w:firstLine="480" w:firstLineChars="200"/>
        <w:textAlignment w:val="auto"/>
        <w:rPr>
          <w:rFonts w:cs="仿宋_GB2312"/>
        </w:rPr>
      </w:pPr>
      <w:r>
        <w:rPr>
          <w:rFonts w:hint="eastAsia" w:cs="仿宋_GB2312"/>
          <w:lang w:val="en-US" w:eastAsia="zh-CN"/>
        </w:rPr>
        <w:t>3</w:t>
      </w:r>
      <w:r>
        <w:rPr>
          <w:rFonts w:cs="仿宋_GB2312"/>
        </w:rPr>
        <w:t>.</w:t>
      </w:r>
      <w:r>
        <w:rPr>
          <w:rFonts w:hint="eastAsia" w:cs="仿宋_GB2312"/>
        </w:rPr>
        <w:t>采购方式：竞争性磋商</w:t>
      </w:r>
    </w:p>
    <w:p w14:paraId="65FC641C">
      <w:pPr>
        <w:keepNext w:val="0"/>
        <w:keepLines w:val="0"/>
        <w:pageBreakBefore w:val="0"/>
        <w:widowControl w:val="0"/>
        <w:kinsoku/>
        <w:wordWrap/>
        <w:overflowPunct/>
        <w:topLinePunct w:val="0"/>
        <w:autoSpaceDE/>
        <w:autoSpaceDN/>
        <w:bidi w:val="0"/>
        <w:ind w:firstLine="480" w:firstLineChars="200"/>
        <w:textAlignment w:val="auto"/>
        <w:rPr>
          <w:rFonts w:hint="eastAsia" w:eastAsia="宋体" w:cs="仿宋_GB2312"/>
          <w:color w:val="auto"/>
          <w:lang w:eastAsia="zh-CN"/>
        </w:rPr>
      </w:pPr>
      <w:r>
        <w:rPr>
          <w:rFonts w:hint="eastAsia" w:cs="仿宋_GB2312"/>
          <w:lang w:val="en-US" w:eastAsia="zh-CN"/>
        </w:rPr>
        <w:t>4</w:t>
      </w:r>
      <w:r>
        <w:rPr>
          <w:rFonts w:cs="仿宋_GB2312"/>
        </w:rPr>
        <w:t>.</w:t>
      </w:r>
      <w:r>
        <w:rPr>
          <w:rFonts w:hint="eastAsia" w:cs="仿宋_GB2312"/>
        </w:rPr>
        <w:t>预算金额</w:t>
      </w:r>
      <w:r>
        <w:rPr>
          <w:rFonts w:hint="eastAsia" w:cs="仿宋_GB2312"/>
          <w:color w:val="auto"/>
        </w:rPr>
        <w:t>：</w:t>
      </w:r>
      <w:r>
        <w:rPr>
          <w:rFonts w:hint="eastAsia" w:cs="仿宋_GB2312"/>
          <w:color w:val="auto"/>
          <w:szCs w:val="24"/>
          <w:u w:val="none"/>
          <w:lang w:eastAsia="zh-CN"/>
        </w:rPr>
        <w:t>307764.44元</w:t>
      </w:r>
    </w:p>
    <w:p w14:paraId="187752C6">
      <w:pPr>
        <w:keepNext w:val="0"/>
        <w:keepLines w:val="0"/>
        <w:pageBreakBefore w:val="0"/>
        <w:widowControl w:val="0"/>
        <w:kinsoku/>
        <w:wordWrap/>
        <w:overflowPunct/>
        <w:topLinePunct w:val="0"/>
        <w:autoSpaceDE/>
        <w:autoSpaceDN/>
        <w:bidi w:val="0"/>
        <w:ind w:firstLine="480" w:firstLineChars="200"/>
        <w:textAlignment w:val="auto"/>
        <w:rPr>
          <w:rFonts w:hint="eastAsia" w:eastAsia="宋体" w:cs="仿宋_GB2312"/>
          <w:color w:val="auto"/>
          <w:lang w:eastAsia="zh-CN"/>
        </w:rPr>
      </w:pPr>
      <w:r>
        <w:rPr>
          <w:rFonts w:hint="eastAsia" w:cs="仿宋_GB2312"/>
          <w:color w:val="auto"/>
          <w:lang w:val="en-US" w:eastAsia="zh-CN"/>
        </w:rPr>
        <w:t>5</w:t>
      </w:r>
      <w:r>
        <w:rPr>
          <w:rFonts w:cs="仿宋_GB2312"/>
          <w:color w:val="auto"/>
        </w:rPr>
        <w:t>.</w:t>
      </w:r>
      <w:r>
        <w:rPr>
          <w:rFonts w:hint="eastAsia" w:cs="仿宋_GB2312"/>
          <w:color w:val="auto"/>
        </w:rPr>
        <w:t>最高限价：</w:t>
      </w:r>
      <w:r>
        <w:rPr>
          <w:rFonts w:hint="eastAsia" w:cs="仿宋_GB2312"/>
          <w:color w:val="auto"/>
          <w:szCs w:val="24"/>
          <w:u w:val="none"/>
          <w:lang w:eastAsia="zh-CN"/>
        </w:rPr>
        <w:t>307764.44元</w:t>
      </w:r>
    </w:p>
    <w:p w14:paraId="1FBF7D9A">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仿宋_GB2312"/>
          <w:color w:val="auto"/>
        </w:rPr>
      </w:pPr>
      <w:r>
        <w:rPr>
          <w:rFonts w:hint="eastAsia" w:cs="仿宋_GB2312"/>
          <w:color w:val="auto"/>
          <w:lang w:val="en-US" w:eastAsia="zh-CN"/>
        </w:rPr>
        <w:t>6</w:t>
      </w:r>
      <w:r>
        <w:rPr>
          <w:rFonts w:hint="eastAsia" w:ascii="宋体" w:hAnsi="宋体" w:eastAsia="宋体" w:cs="仿宋_GB2312"/>
          <w:color w:val="auto"/>
        </w:rPr>
        <w:t xml:space="preserve">.采购需求： </w:t>
      </w:r>
      <w:r>
        <w:rPr>
          <w:rFonts w:hint="eastAsia" w:ascii="宋体" w:hAnsi="宋体" w:eastAsia="宋体" w:cs="仿宋_GB2312"/>
          <w:color w:val="auto"/>
          <w:u w:val="none"/>
        </w:rPr>
        <w:t xml:space="preserve">详见竞争性磋商文件第三章 </w:t>
      </w:r>
      <w:r>
        <w:rPr>
          <w:rFonts w:hint="eastAsia" w:ascii="宋体" w:hAnsi="宋体" w:eastAsia="宋体" w:cs="仿宋_GB2312"/>
          <w:color w:val="auto"/>
        </w:rPr>
        <w:t xml:space="preserve">     </w:t>
      </w:r>
    </w:p>
    <w:p w14:paraId="4CE500C2">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仿宋_GB2312"/>
        </w:rPr>
      </w:pPr>
      <w:r>
        <w:rPr>
          <w:rFonts w:hint="eastAsia" w:cs="仿宋_GB2312"/>
          <w:color w:val="auto"/>
          <w:lang w:val="en-US" w:eastAsia="zh-CN"/>
        </w:rPr>
        <w:t>7</w:t>
      </w:r>
      <w:r>
        <w:rPr>
          <w:rFonts w:hint="eastAsia" w:ascii="宋体" w:hAnsi="宋体" w:eastAsia="宋体" w:cs="仿宋_GB2312"/>
          <w:color w:val="auto"/>
        </w:rPr>
        <w:t>.合同履行期限：</w:t>
      </w:r>
      <w:r>
        <w:rPr>
          <w:rFonts w:hint="eastAsia" w:cs="仿宋_GB2312"/>
          <w:color w:val="auto"/>
          <w:u w:val="none"/>
          <w:lang w:eastAsia="zh-CN"/>
        </w:rPr>
        <w:t>20日历天（按采购人要求，分批搬运）</w:t>
      </w:r>
      <w:r>
        <w:rPr>
          <w:rFonts w:hint="eastAsia" w:ascii="宋体" w:hAnsi="宋体" w:eastAsia="宋体" w:cs="仿宋_GB2312"/>
        </w:rPr>
        <w:t xml:space="preserve">    </w:t>
      </w:r>
      <w:r>
        <w:rPr>
          <w:rFonts w:hint="eastAsia" w:ascii="宋体" w:hAnsi="宋体" w:eastAsia="宋体" w:cs="仿宋_GB2312"/>
          <w:lang w:val="hr-HR"/>
        </w:rPr>
        <w:t xml:space="preserve"> </w:t>
      </w:r>
    </w:p>
    <w:p w14:paraId="2B55E90B">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仿宋_GB2312"/>
          <w:lang w:val="en-US" w:eastAsia="zh-CN"/>
        </w:rPr>
      </w:pPr>
      <w:r>
        <w:rPr>
          <w:rFonts w:hint="eastAsia" w:cs="仿宋_GB2312"/>
          <w:lang w:val="en-US" w:eastAsia="zh-CN"/>
        </w:rPr>
        <w:t>8</w:t>
      </w:r>
      <w:r>
        <w:rPr>
          <w:rFonts w:hint="eastAsia" w:ascii="宋体" w:hAnsi="宋体" w:eastAsia="宋体" w:cs="仿宋_GB2312"/>
        </w:rPr>
        <w:t>.接受联合体磋商：</w:t>
      </w:r>
      <w:r>
        <w:rPr>
          <w:rFonts w:hint="eastAsia" w:ascii="宋体" w:hAnsi="宋体" w:eastAsia="宋体" w:cs="仿宋_GB2312"/>
          <w:u w:val="none"/>
        </w:rPr>
        <w:t>否</w:t>
      </w:r>
      <w:r>
        <w:rPr>
          <w:rFonts w:hint="eastAsia" w:cs="仿宋_GB2312"/>
          <w:u w:val="none"/>
          <w:lang w:val="en-US" w:eastAsia="zh-CN"/>
        </w:rPr>
        <w:t xml:space="preserve"> </w:t>
      </w:r>
    </w:p>
    <w:p w14:paraId="4D0335D6">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仿宋_GB2312"/>
        </w:rPr>
      </w:pPr>
      <w:r>
        <w:rPr>
          <w:rFonts w:hint="eastAsia" w:cs="仿宋_GB2312"/>
          <w:lang w:val="en-US" w:eastAsia="zh-CN"/>
        </w:rPr>
        <w:t>9</w:t>
      </w:r>
      <w:r>
        <w:rPr>
          <w:rFonts w:hint="eastAsia" w:ascii="宋体" w:hAnsi="宋体" w:eastAsia="宋体" w:cs="仿宋_GB2312"/>
        </w:rPr>
        <w:t>.是否可采购进口产品：</w:t>
      </w:r>
      <w:r>
        <w:rPr>
          <w:rFonts w:hint="eastAsia" w:ascii="宋体" w:hAnsi="宋体" w:eastAsia="宋体" w:cs="仿宋_GB2312"/>
          <w:u w:val="none"/>
        </w:rPr>
        <w:t>否</w:t>
      </w:r>
      <w:r>
        <w:rPr>
          <w:rFonts w:hint="eastAsia" w:cs="仿宋_GB2312"/>
          <w:u w:val="none"/>
          <w:lang w:val="en-US" w:eastAsia="zh-CN"/>
        </w:rPr>
        <w:t xml:space="preserve"> </w:t>
      </w:r>
    </w:p>
    <w:p w14:paraId="483A30E9">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仿宋_GB2312"/>
        </w:rPr>
      </w:pPr>
      <w:r>
        <w:rPr>
          <w:rFonts w:hint="eastAsia" w:cs="仿宋_GB2312"/>
          <w:lang w:val="en-US" w:eastAsia="zh-CN"/>
        </w:rPr>
        <w:t>10</w:t>
      </w:r>
      <w:r>
        <w:rPr>
          <w:rFonts w:hint="eastAsia" w:ascii="宋体" w:hAnsi="宋体" w:eastAsia="宋体" w:cs="仿宋_GB2312"/>
        </w:rPr>
        <w:t>.是否接受合同分包：</w:t>
      </w:r>
      <w:r>
        <w:rPr>
          <w:rFonts w:hint="eastAsia" w:ascii="宋体" w:hAnsi="宋体" w:eastAsia="宋体" w:cs="仿宋_GB2312"/>
          <w:u w:val="none"/>
        </w:rPr>
        <w:t>否</w:t>
      </w:r>
      <w:r>
        <w:rPr>
          <w:rFonts w:hint="eastAsia" w:cs="仿宋_GB2312"/>
          <w:u w:val="none"/>
          <w:lang w:val="en-US" w:eastAsia="zh-CN"/>
        </w:rPr>
        <w:t xml:space="preserve"> </w:t>
      </w:r>
    </w:p>
    <w:p w14:paraId="24571286">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仿宋_GB2312"/>
          <w:lang w:val="en-US" w:eastAsia="zh-CN"/>
        </w:rPr>
      </w:pPr>
      <w:r>
        <w:rPr>
          <w:rFonts w:hint="eastAsia" w:ascii="宋体" w:hAnsi="宋体" w:eastAsia="宋体" w:cs="仿宋_GB2312"/>
        </w:rPr>
        <w:t>1</w:t>
      </w:r>
      <w:r>
        <w:rPr>
          <w:rFonts w:hint="eastAsia" w:cs="仿宋_GB2312"/>
          <w:lang w:val="en-US" w:eastAsia="zh-CN"/>
        </w:rPr>
        <w:t>1</w:t>
      </w:r>
      <w:r>
        <w:rPr>
          <w:rFonts w:hint="eastAsia" w:ascii="宋体" w:hAnsi="宋体" w:eastAsia="宋体" w:cs="仿宋_GB2312"/>
        </w:rPr>
        <w:t>.是否专门面向中小微企业：</w:t>
      </w:r>
      <w:r>
        <w:rPr>
          <w:rFonts w:hint="eastAsia" w:ascii="宋体" w:hAnsi="宋体" w:eastAsia="宋体" w:cs="仿宋_GB2312"/>
          <w:u w:val="none"/>
        </w:rPr>
        <w:t>是</w:t>
      </w:r>
      <w:r>
        <w:rPr>
          <w:rFonts w:hint="eastAsia" w:cs="仿宋_GB2312"/>
          <w:u w:val="none"/>
          <w:lang w:val="en-US" w:eastAsia="zh-CN"/>
        </w:rPr>
        <w:t xml:space="preserve"> </w:t>
      </w:r>
    </w:p>
    <w:p w14:paraId="58DA7F4A">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仿宋_GB2312"/>
          <w:lang w:val="en-US" w:eastAsia="zh-CN"/>
        </w:rPr>
      </w:pPr>
      <w:r>
        <w:rPr>
          <w:rFonts w:hint="eastAsia" w:ascii="宋体" w:hAnsi="宋体" w:eastAsia="宋体" w:cs="仿宋_GB2312"/>
        </w:rPr>
        <w:t>1</w:t>
      </w:r>
      <w:r>
        <w:rPr>
          <w:rFonts w:hint="eastAsia" w:cs="仿宋_GB2312"/>
          <w:lang w:val="en-US" w:eastAsia="zh-CN"/>
        </w:rPr>
        <w:t>2</w:t>
      </w:r>
      <w:r>
        <w:rPr>
          <w:rFonts w:hint="eastAsia" w:ascii="宋体" w:hAnsi="宋体" w:eastAsia="宋体" w:cs="仿宋_GB2312"/>
        </w:rPr>
        <w:t>.面向中小微企业的类型为：</w:t>
      </w:r>
      <w:r>
        <w:rPr>
          <w:rFonts w:hint="eastAsia" w:ascii="宋体" w:hAnsi="宋体" w:eastAsia="宋体" w:cs="仿宋_GB2312"/>
          <w:u w:val="none"/>
        </w:rPr>
        <w:t>中小微企业</w:t>
      </w:r>
      <w:r>
        <w:rPr>
          <w:rFonts w:hint="eastAsia" w:cs="仿宋_GB2312"/>
          <w:u w:val="none"/>
          <w:lang w:val="en-US" w:eastAsia="zh-CN"/>
        </w:rPr>
        <w:t xml:space="preserve"> </w:t>
      </w:r>
    </w:p>
    <w:p w14:paraId="0C4EC2BE">
      <w:pPr>
        <w:pStyle w:val="3"/>
        <w:numPr>
          <w:ilvl w:val="0"/>
          <w:numId w:val="2"/>
        </w:numPr>
      </w:pPr>
      <w:bookmarkStart w:id="20" w:name="_Toc109900360"/>
      <w:bookmarkStart w:id="21" w:name="_Toc30588"/>
      <w:bookmarkStart w:id="22" w:name="_Toc163493601"/>
      <w:bookmarkStart w:id="23" w:name="_Toc109899522"/>
      <w:bookmarkStart w:id="24" w:name="_Toc109899941"/>
      <w:bookmarkStart w:id="25" w:name="_Toc11945"/>
      <w:bookmarkStart w:id="26" w:name="_Toc109897423"/>
      <w:bookmarkStart w:id="27" w:name="_Toc21439"/>
      <w:r>
        <w:rPr>
          <w:rFonts w:hint="eastAsia"/>
        </w:rPr>
        <w:t>供应商资格要求</w:t>
      </w:r>
      <w:bookmarkEnd w:id="20"/>
      <w:bookmarkEnd w:id="21"/>
      <w:bookmarkEnd w:id="22"/>
      <w:bookmarkEnd w:id="23"/>
      <w:bookmarkEnd w:id="24"/>
      <w:bookmarkEnd w:id="25"/>
      <w:bookmarkEnd w:id="26"/>
      <w:bookmarkEnd w:id="27"/>
    </w:p>
    <w:p w14:paraId="13B82663">
      <w:r>
        <w:rPr>
          <w:rFonts w:hint="eastAsia"/>
        </w:rPr>
        <w:t>1.满足《中华人民共和国政府采购法》第二十二条规定，即：</w:t>
      </w:r>
    </w:p>
    <w:p w14:paraId="008052EE">
      <w:pPr>
        <w:pStyle w:val="36"/>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pPr>
      <w:r>
        <w:rPr>
          <w:rFonts w:hint="eastAsia"/>
        </w:rPr>
        <w:t>具有独立承担民事责任的能力；</w:t>
      </w:r>
    </w:p>
    <w:p w14:paraId="07E35AE4">
      <w:pPr>
        <w:pStyle w:val="36"/>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pPr>
      <w:r>
        <w:rPr>
          <w:rFonts w:hint="eastAsia"/>
        </w:rPr>
        <w:t>具有良好的商业信誉和健全的财务会计制度；</w:t>
      </w:r>
    </w:p>
    <w:p w14:paraId="27B8F01D">
      <w:pPr>
        <w:pStyle w:val="36"/>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pPr>
      <w:r>
        <w:rPr>
          <w:rFonts w:hint="eastAsia"/>
        </w:rPr>
        <w:t>具有履行合同所必需的设备和专业技术能力；</w:t>
      </w:r>
    </w:p>
    <w:p w14:paraId="32E2A282">
      <w:pPr>
        <w:pStyle w:val="36"/>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pPr>
      <w:r>
        <w:rPr>
          <w:rFonts w:hint="eastAsia"/>
        </w:rPr>
        <w:t>有依法缴纳税收和社会保障资金的良好记录；</w:t>
      </w:r>
    </w:p>
    <w:p w14:paraId="16E18633">
      <w:pPr>
        <w:pStyle w:val="36"/>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pPr>
      <w:r>
        <w:rPr>
          <w:rFonts w:hint="eastAsia"/>
        </w:rPr>
        <w:t>参加政府采购活动前三年内，在经营活动中没有重大违法记录；</w:t>
      </w:r>
    </w:p>
    <w:p w14:paraId="4058458F">
      <w:pPr>
        <w:pStyle w:val="36"/>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pPr>
      <w:r>
        <w:rPr>
          <w:rFonts w:hint="eastAsia"/>
        </w:rPr>
        <w:t>法律、行政法规规定的其他条件。</w:t>
      </w:r>
    </w:p>
    <w:p w14:paraId="306B0D52">
      <w:r>
        <w:rPr>
          <w:rFonts w:hint="eastAsia"/>
        </w:rPr>
        <w:t>2.未被列入失信被执行人、“重大税收违法失信主体”，未被列入政府采购严重违法失信行为记录名单。</w:t>
      </w:r>
    </w:p>
    <w:p w14:paraId="3E9ADB25">
      <w:bookmarkStart w:id="28" w:name="_Hlk89807755"/>
      <w:r>
        <w:rPr>
          <w:rFonts w:hint="eastAsia"/>
        </w:rPr>
        <w:t>3.落实政府采购政策需满足的资格要求：</w:t>
      </w:r>
    </w:p>
    <w:p w14:paraId="20D93E08">
      <w:pPr>
        <w:pStyle w:val="36"/>
        <w:keepNext w:val="0"/>
        <w:keepLines w:val="0"/>
        <w:pageBreakBefore w:val="0"/>
        <w:widowControl w:val="0"/>
        <w:numPr>
          <w:ilvl w:val="0"/>
          <w:numId w:val="4"/>
        </w:numPr>
        <w:kinsoku/>
        <w:wordWrap/>
        <w:overflowPunct/>
        <w:topLinePunct w:val="0"/>
        <w:autoSpaceDE/>
        <w:autoSpaceDN/>
        <w:bidi w:val="0"/>
        <w:adjustRightInd/>
        <w:snapToGrid/>
        <w:ind w:left="0" w:firstLine="480" w:firstLineChars="200"/>
        <w:textAlignment w:val="auto"/>
      </w:pPr>
      <w:r>
        <w:rPr>
          <w:rFonts w:hint="eastAsia"/>
        </w:rPr>
        <w:t>根据《政府采购促进中小企业发展管理办法》（财库〔2020〕46号）规定，本项目专门面向中小企业采购。根据工业和信息化部国家统计局国家发展和改革委员会财政部《中小企业划型标准规定》（工信部联企业〔2011〕300 号）的规定，提供所属行业中小企业声明函。</w:t>
      </w:r>
    </w:p>
    <w:p w14:paraId="6AC0566F">
      <w:pPr>
        <w:rPr>
          <w:rFonts w:hint="eastAsia" w:eastAsia="宋体"/>
          <w:color w:val="auto"/>
          <w:lang w:val="en-US" w:eastAsia="zh-CN"/>
        </w:rPr>
      </w:pPr>
      <w:r>
        <w:rPr>
          <w:rFonts w:hint="eastAsia"/>
        </w:rPr>
        <w:t>4.特定资格要</w:t>
      </w:r>
      <w:r>
        <w:rPr>
          <w:rFonts w:hint="eastAsia"/>
          <w:color w:val="auto"/>
        </w:rPr>
        <w:t>求</w:t>
      </w:r>
      <w:r>
        <w:rPr>
          <w:rFonts w:hint="eastAsia"/>
          <w:strike w:val="0"/>
          <w:color w:val="auto"/>
        </w:rPr>
        <w:t>：供应商须具有城乡建设主管部门颁发的有效安全生产许可证</w:t>
      </w:r>
      <w:r>
        <w:rPr>
          <w:rFonts w:hint="eastAsia"/>
          <w:strike w:val="0"/>
          <w:color w:val="auto"/>
          <w:lang w:eastAsia="zh-CN"/>
        </w:rPr>
        <w:t>。</w:t>
      </w:r>
    </w:p>
    <w:bookmarkEnd w:id="28"/>
    <w:p w14:paraId="1D86FF6A">
      <w:pPr>
        <w:pStyle w:val="3"/>
        <w:numPr>
          <w:ilvl w:val="0"/>
          <w:numId w:val="2"/>
        </w:numPr>
      </w:pPr>
      <w:bookmarkStart w:id="29" w:name="_Toc109899942"/>
      <w:bookmarkStart w:id="30" w:name="_Toc109900361"/>
      <w:bookmarkStart w:id="31" w:name="_Toc163493602"/>
      <w:bookmarkStart w:id="32" w:name="_Toc4484"/>
      <w:bookmarkStart w:id="33" w:name="_Toc2537"/>
      <w:bookmarkStart w:id="34" w:name="_Toc109897424"/>
      <w:bookmarkStart w:id="35" w:name="_Toc10018"/>
      <w:bookmarkStart w:id="36" w:name="_Toc109899523"/>
      <w:r>
        <w:rPr>
          <w:rFonts w:hint="eastAsia"/>
        </w:rPr>
        <w:t>获取竞争性磋商文件</w:t>
      </w:r>
      <w:bookmarkEnd w:id="29"/>
      <w:bookmarkEnd w:id="30"/>
      <w:bookmarkEnd w:id="31"/>
      <w:bookmarkEnd w:id="32"/>
      <w:bookmarkEnd w:id="33"/>
      <w:bookmarkEnd w:id="34"/>
      <w:bookmarkEnd w:id="35"/>
      <w:bookmarkEnd w:id="36"/>
    </w:p>
    <w:p w14:paraId="5C05F03B">
      <w:pPr>
        <w:pStyle w:val="32"/>
        <w:ind w:firstLine="480"/>
        <w:rPr>
          <w:u w:val="none"/>
          <w:lang w:val="hr-HR"/>
        </w:rPr>
      </w:pPr>
      <w:bookmarkStart w:id="37" w:name="_Hlk130457234"/>
      <w:bookmarkStart w:id="38" w:name="_Hlk130457327"/>
      <w:bookmarkStart w:id="39" w:name="_Toc35393801"/>
      <w:bookmarkStart w:id="40" w:name="_Toc28359092"/>
      <w:bookmarkStart w:id="41" w:name="_Toc28359015"/>
      <w:bookmarkStart w:id="42" w:name="_Toc35393632"/>
      <w:r>
        <w:rPr>
          <w:rFonts w:hint="eastAsia"/>
          <w:lang w:val="hr-HR"/>
        </w:rPr>
        <w:t>1.时</w:t>
      </w:r>
      <w:r>
        <w:rPr>
          <w:rFonts w:hint="eastAsia"/>
          <w:color w:val="auto"/>
          <w:lang w:val="hr-HR"/>
        </w:rPr>
        <w:t>间：</w:t>
      </w:r>
      <w:r>
        <w:rPr>
          <w:rFonts w:hint="eastAsia"/>
          <w:color w:val="auto"/>
          <w:u w:val="none"/>
          <w:lang w:val="en-US" w:eastAsia="zh-CN"/>
        </w:rPr>
        <w:t>2025年06月20日至2025年06月26日，每天</w:t>
      </w:r>
      <w:r>
        <w:rPr>
          <w:rFonts w:hint="eastAsia"/>
          <w:u w:val="none"/>
          <w:lang w:val="en-US" w:eastAsia="zh-CN"/>
        </w:rPr>
        <w:t>上午08:30至11:30，下午14:30至17:00（北京时间，法定节假日除外）</w:t>
      </w:r>
    </w:p>
    <w:bookmarkEnd w:id="37"/>
    <w:p w14:paraId="0BDD8DFD">
      <w:pPr>
        <w:pStyle w:val="32"/>
        <w:ind w:firstLine="480"/>
        <w:rPr>
          <w:color w:val="auto"/>
          <w:lang w:val="hr-HR"/>
        </w:rPr>
      </w:pPr>
      <w:bookmarkStart w:id="43" w:name="_Hlk130457261"/>
      <w:r>
        <w:rPr>
          <w:rFonts w:hint="eastAsia"/>
          <w:lang w:val="hr-HR"/>
        </w:rPr>
        <w:t>2.</w:t>
      </w:r>
      <w:r>
        <w:rPr>
          <w:rFonts w:hint="eastAsia"/>
        </w:rPr>
        <w:t>地点</w:t>
      </w:r>
      <w:r>
        <w:rPr>
          <w:rFonts w:hint="eastAsia"/>
          <w:lang w:val="hr-HR"/>
        </w:rPr>
        <w:t>：</w:t>
      </w:r>
      <w:bookmarkStart w:id="44" w:name="_Hlk89807779"/>
      <w:r>
        <w:rPr>
          <w:rFonts w:hint="eastAsia"/>
        </w:rPr>
        <w:t>潜江市鲲展工程项目管理有限公司（潜江市园林街道办事处章华南路10号）</w:t>
      </w:r>
      <w:r>
        <w:rPr>
          <w:rFonts w:hint="eastAsia"/>
          <w:color w:val="auto"/>
        </w:rPr>
        <w:t>。</w:t>
      </w:r>
      <w:bookmarkEnd w:id="44"/>
    </w:p>
    <w:p w14:paraId="63BA6044">
      <w:pPr>
        <w:pStyle w:val="23"/>
        <w:spacing w:beforeAutospacing="0" w:afterAutospacing="0" w:line="360" w:lineRule="auto"/>
        <w:ind w:firstLine="480" w:firstLineChars="200"/>
        <w:jc w:val="both"/>
        <w:rPr>
          <w:rFonts w:hint="eastAsia" w:ascii="宋体" w:hAnsi="宋体" w:eastAsia="宋体" w:cstheme="minorBidi"/>
          <w:kern w:val="2"/>
          <w:sz w:val="24"/>
          <w:szCs w:val="22"/>
          <w:lang w:val="hr-HR" w:eastAsia="zh-CN" w:bidi="ar-SA"/>
        </w:rPr>
      </w:pPr>
      <w:r>
        <w:rPr>
          <w:rFonts w:hint="eastAsia"/>
          <w:color w:val="auto"/>
        </w:rPr>
        <w:t>3.方式：有意参与本项目的供应商可在公示期内携以下证明材料：法定代表人凭法定代表人身份证明书或委托代理人凭法定代表人授权书、本人身份证（原件）、</w:t>
      </w:r>
      <w:r>
        <w:rPr>
          <w:rFonts w:hint="eastAsia" w:ascii="宋体" w:hAnsi="宋体" w:eastAsia="宋体" w:cs="宋体"/>
          <w:i w:val="0"/>
          <w:iCs w:val="0"/>
          <w:caps w:val="0"/>
          <w:color w:val="333333"/>
          <w:spacing w:val="0"/>
          <w:sz w:val="24"/>
          <w:szCs w:val="24"/>
          <w:shd w:val="clear" w:fill="FFFFFF"/>
        </w:rPr>
        <w:t>资质证书、</w:t>
      </w:r>
      <w:bookmarkStart w:id="681" w:name="_GoBack"/>
      <w:bookmarkEnd w:id="681"/>
      <w:r>
        <w:rPr>
          <w:rFonts w:hint="eastAsia"/>
          <w:color w:val="auto"/>
        </w:rPr>
        <w:t>营业执照和“信用中国”网站失信被执行人、重大税收违法失信主体、政府采购严重违法失信行为记录名单和“中国政府采购”网站政府采购严重违法失信行为记录名单的网页截图打印件等相关资料（以上文件提供有效期内原件的复</w:t>
      </w:r>
      <w:r>
        <w:rPr>
          <w:rFonts w:hint="eastAsia" w:ascii="宋体" w:hAnsi="宋体" w:eastAsia="宋体" w:cstheme="minorBidi"/>
          <w:kern w:val="2"/>
          <w:sz w:val="24"/>
          <w:szCs w:val="22"/>
          <w:lang w:val="hr-HR" w:eastAsia="zh-CN" w:bidi="ar-SA"/>
        </w:rPr>
        <w:t>印件并加盖鲜章）到潜江市鲲展工程项目管理有限公司（潜江市园林街道办事处章华南路10号）现场报名。</w:t>
      </w:r>
    </w:p>
    <w:p w14:paraId="490036C0">
      <w:pPr>
        <w:pStyle w:val="23"/>
        <w:spacing w:beforeAutospacing="0" w:afterAutospacing="0" w:line="360" w:lineRule="auto"/>
        <w:ind w:firstLine="480" w:firstLineChars="200"/>
        <w:jc w:val="both"/>
        <w:rPr>
          <w:rFonts w:hint="default"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4.售价：400.00(元)</w:t>
      </w:r>
    </w:p>
    <w:bookmarkEnd w:id="38"/>
    <w:bookmarkEnd w:id="39"/>
    <w:bookmarkEnd w:id="40"/>
    <w:bookmarkEnd w:id="41"/>
    <w:bookmarkEnd w:id="42"/>
    <w:bookmarkEnd w:id="43"/>
    <w:p w14:paraId="2DFE9640">
      <w:pPr>
        <w:pStyle w:val="3"/>
        <w:numPr>
          <w:ilvl w:val="0"/>
          <w:numId w:val="2"/>
        </w:numPr>
      </w:pPr>
      <w:bookmarkStart w:id="45" w:name="_Toc15080"/>
      <w:bookmarkStart w:id="46" w:name="_Toc18930"/>
      <w:bookmarkStart w:id="47" w:name="_Toc163493603"/>
      <w:bookmarkStart w:id="48" w:name="_Toc20972"/>
      <w:r>
        <w:rPr>
          <w:rFonts w:hint="eastAsia"/>
        </w:rPr>
        <w:t>提交响应文件截止时间和地点</w:t>
      </w:r>
      <w:bookmarkEnd w:id="45"/>
      <w:bookmarkEnd w:id="46"/>
      <w:bookmarkEnd w:id="47"/>
      <w:bookmarkEnd w:id="48"/>
    </w:p>
    <w:p w14:paraId="09802AF1">
      <w:pPr>
        <w:pStyle w:val="32"/>
        <w:numPr>
          <w:ilvl w:val="0"/>
          <w:numId w:val="5"/>
        </w:numPr>
        <w:ind w:firstLine="480"/>
        <w:rPr>
          <w:rFonts w:hint="eastAsia"/>
          <w:color w:val="auto"/>
          <w:u w:val="none"/>
          <w:lang w:val="en-US" w:eastAsia="zh-CN"/>
        </w:rPr>
      </w:pPr>
      <w:bookmarkStart w:id="49" w:name="_Toc35393802"/>
      <w:bookmarkStart w:id="50" w:name="_Toc109900363"/>
      <w:bookmarkStart w:id="51" w:name="_Toc109897426"/>
      <w:bookmarkStart w:id="52" w:name="_Toc35393633"/>
      <w:bookmarkStart w:id="53" w:name="_Toc109899525"/>
      <w:bookmarkStart w:id="54" w:name="_Toc28359016"/>
      <w:bookmarkStart w:id="55" w:name="_Toc109899944"/>
      <w:bookmarkStart w:id="56" w:name="_Toc28359093"/>
      <w:r>
        <w:rPr>
          <w:rFonts w:hint="eastAsia"/>
          <w:lang w:val="en-US" w:eastAsia="zh-CN"/>
        </w:rPr>
        <w:t>开始</w:t>
      </w:r>
      <w:r>
        <w:rPr>
          <w:rFonts w:hint="eastAsia"/>
          <w:color w:val="auto"/>
          <w:lang w:val="hr-HR"/>
        </w:rPr>
        <w:t>时间：</w:t>
      </w:r>
      <w:r>
        <w:rPr>
          <w:rFonts w:hint="eastAsia"/>
          <w:color w:val="auto"/>
          <w:u w:val="none"/>
          <w:lang w:val="en-US" w:eastAsia="zh-CN"/>
        </w:rPr>
        <w:t>2025年07月03日08点30分（北京时间）</w:t>
      </w:r>
    </w:p>
    <w:p w14:paraId="77CC3DCF">
      <w:pPr>
        <w:pStyle w:val="32"/>
        <w:numPr>
          <w:ilvl w:val="0"/>
          <w:numId w:val="5"/>
        </w:numPr>
        <w:ind w:firstLine="480"/>
        <w:rPr>
          <w:rFonts w:hint="default"/>
          <w:color w:val="auto"/>
          <w:u w:val="none"/>
          <w:lang w:val="en-US" w:eastAsia="zh-CN"/>
        </w:rPr>
      </w:pPr>
      <w:r>
        <w:rPr>
          <w:rFonts w:hint="default"/>
          <w:color w:val="auto"/>
          <w:u w:val="none"/>
          <w:lang w:val="en-US" w:eastAsia="zh-CN"/>
        </w:rPr>
        <w:t>截止时间：</w:t>
      </w:r>
      <w:r>
        <w:rPr>
          <w:rFonts w:hint="eastAsia"/>
          <w:color w:val="auto"/>
          <w:u w:val="none"/>
          <w:lang w:val="en-US" w:eastAsia="zh-CN"/>
        </w:rPr>
        <w:t>2025年07月03日</w:t>
      </w:r>
      <w:r>
        <w:rPr>
          <w:rFonts w:hint="default"/>
          <w:color w:val="auto"/>
          <w:u w:val="none"/>
          <w:lang w:val="en-US" w:eastAsia="zh-CN"/>
        </w:rPr>
        <w:t>09点00分（北京时间）</w:t>
      </w:r>
    </w:p>
    <w:p w14:paraId="3139D540">
      <w:pPr>
        <w:pStyle w:val="32"/>
        <w:numPr>
          <w:ilvl w:val="0"/>
          <w:numId w:val="5"/>
        </w:numPr>
        <w:ind w:firstLine="480"/>
        <w:rPr>
          <w:rFonts w:hint="default"/>
          <w:color w:val="auto"/>
          <w:u w:val="none"/>
          <w:lang w:val="en-US" w:eastAsia="zh-CN"/>
        </w:rPr>
      </w:pPr>
      <w:r>
        <w:rPr>
          <w:rFonts w:hint="eastAsia"/>
          <w:color w:val="auto"/>
        </w:rPr>
        <w:t>地点</w:t>
      </w:r>
      <w:r>
        <w:rPr>
          <w:rFonts w:hint="eastAsia"/>
          <w:color w:val="auto"/>
          <w:lang w:val="hr-HR"/>
        </w:rPr>
        <w:t>：</w:t>
      </w:r>
      <w:r>
        <w:rPr>
          <w:rFonts w:hint="eastAsia"/>
          <w:color w:val="auto"/>
        </w:rPr>
        <w:t>潜江市鲲展工程项目管理有限公司（潜江市园林街道办事处章华南路10号）</w:t>
      </w:r>
    </w:p>
    <w:p w14:paraId="7837F731">
      <w:pPr>
        <w:pStyle w:val="3"/>
        <w:numPr>
          <w:ilvl w:val="0"/>
          <w:numId w:val="2"/>
        </w:numPr>
        <w:rPr>
          <w:strike w:val="0"/>
          <w:dstrike w:val="0"/>
          <w:color w:val="auto"/>
        </w:rPr>
      </w:pPr>
      <w:bookmarkStart w:id="57" w:name="_Toc5897"/>
      <w:bookmarkStart w:id="58" w:name="_Toc163493604"/>
      <w:bookmarkStart w:id="59" w:name="_Toc8499"/>
      <w:bookmarkStart w:id="60" w:name="_Toc19850"/>
      <w:r>
        <w:rPr>
          <w:rFonts w:hint="eastAsia"/>
          <w:strike w:val="0"/>
          <w:dstrike w:val="0"/>
          <w:color w:val="auto"/>
        </w:rPr>
        <w:t>开启</w:t>
      </w:r>
      <w:bookmarkEnd w:id="49"/>
      <w:bookmarkEnd w:id="50"/>
      <w:bookmarkEnd w:id="51"/>
      <w:bookmarkEnd w:id="52"/>
      <w:bookmarkEnd w:id="53"/>
      <w:bookmarkEnd w:id="54"/>
      <w:bookmarkEnd w:id="55"/>
      <w:bookmarkEnd w:id="56"/>
      <w:bookmarkEnd w:id="57"/>
      <w:bookmarkEnd w:id="58"/>
      <w:bookmarkEnd w:id="59"/>
      <w:bookmarkEnd w:id="60"/>
    </w:p>
    <w:p w14:paraId="322199DC">
      <w:pPr>
        <w:adjustRightInd w:val="0"/>
        <w:snapToGrid w:val="0"/>
        <w:ind w:firstLine="480" w:firstLineChars="200"/>
        <w:rPr>
          <w:rFonts w:cs="仿宋_GB2312"/>
          <w:strike w:val="0"/>
          <w:dstrike w:val="0"/>
          <w:color w:val="auto"/>
          <w:szCs w:val="24"/>
          <w:lang w:val="hr-HR"/>
        </w:rPr>
      </w:pPr>
      <w:r>
        <w:rPr>
          <w:rFonts w:cs="仿宋_GB2312"/>
          <w:strike w:val="0"/>
          <w:dstrike w:val="0"/>
          <w:color w:val="auto"/>
          <w:szCs w:val="24"/>
        </w:rPr>
        <w:t>1</w:t>
      </w:r>
      <w:r>
        <w:rPr>
          <w:rFonts w:hint="eastAsia" w:cs="仿宋_GB2312"/>
          <w:strike w:val="0"/>
          <w:dstrike w:val="0"/>
          <w:color w:val="auto"/>
          <w:szCs w:val="24"/>
        </w:rPr>
        <w:t>.开启时间：</w:t>
      </w:r>
      <w:r>
        <w:rPr>
          <w:rFonts w:hint="eastAsia"/>
          <w:color w:val="auto"/>
          <w:u w:val="none"/>
          <w:lang w:val="en-US" w:eastAsia="zh-CN"/>
        </w:rPr>
        <w:t>2025年07月03日</w:t>
      </w:r>
      <w:r>
        <w:rPr>
          <w:rFonts w:hint="default"/>
          <w:color w:val="auto"/>
          <w:u w:val="none"/>
          <w:lang w:val="en-US" w:eastAsia="zh-CN"/>
        </w:rPr>
        <w:t>09点00分（</w:t>
      </w:r>
      <w:r>
        <w:rPr>
          <w:rFonts w:hint="default"/>
          <w:u w:val="none"/>
          <w:lang w:val="en-US" w:eastAsia="zh-CN"/>
        </w:rPr>
        <w:t>北京时间）</w:t>
      </w:r>
    </w:p>
    <w:p w14:paraId="0A290047">
      <w:pPr>
        <w:pStyle w:val="32"/>
        <w:numPr>
          <w:ilvl w:val="0"/>
          <w:numId w:val="0"/>
        </w:numPr>
        <w:ind w:firstLine="480" w:firstLineChars="200"/>
        <w:rPr>
          <w:rFonts w:cs="仿宋_GB2312"/>
          <w:color w:val="auto"/>
          <w:szCs w:val="24"/>
        </w:rPr>
      </w:pPr>
      <w:r>
        <w:rPr>
          <w:rFonts w:cs="仿宋_GB2312"/>
          <w:strike w:val="0"/>
          <w:dstrike w:val="0"/>
          <w:color w:val="auto"/>
          <w:szCs w:val="24"/>
        </w:rPr>
        <w:t>2</w:t>
      </w:r>
      <w:r>
        <w:rPr>
          <w:rFonts w:hint="eastAsia" w:cs="仿宋_GB2312"/>
          <w:strike w:val="0"/>
          <w:dstrike w:val="0"/>
          <w:color w:val="auto"/>
          <w:szCs w:val="24"/>
        </w:rPr>
        <w:t>.</w:t>
      </w:r>
      <w:r>
        <w:rPr>
          <w:rFonts w:hint="eastAsia"/>
        </w:rPr>
        <w:t>地点</w:t>
      </w:r>
      <w:r>
        <w:rPr>
          <w:rFonts w:hint="eastAsia"/>
          <w:lang w:val="hr-HR"/>
        </w:rPr>
        <w:t>：</w:t>
      </w:r>
      <w:r>
        <w:rPr>
          <w:rFonts w:hint="eastAsia"/>
        </w:rPr>
        <w:t>潜江市鲲展工程项目管理有限公司（潜江市园林街道办事处章华南路10号）</w:t>
      </w:r>
    </w:p>
    <w:p w14:paraId="4A6EF2D6">
      <w:pPr>
        <w:pStyle w:val="3"/>
        <w:numPr>
          <w:ilvl w:val="0"/>
          <w:numId w:val="2"/>
        </w:numPr>
        <w:rPr>
          <w:strike w:val="0"/>
          <w:dstrike w:val="0"/>
        </w:rPr>
      </w:pPr>
      <w:bookmarkStart w:id="61" w:name="_Toc109900364"/>
      <w:bookmarkStart w:id="62" w:name="_Toc163493605"/>
      <w:bookmarkStart w:id="63" w:name="_Toc31985"/>
      <w:bookmarkStart w:id="64" w:name="_Toc109899945"/>
      <w:bookmarkStart w:id="65" w:name="_Toc11292"/>
      <w:bookmarkStart w:id="66" w:name="_Toc109899526"/>
      <w:bookmarkStart w:id="67" w:name="_Toc109897427"/>
      <w:bookmarkStart w:id="68" w:name="_Toc10719"/>
      <w:r>
        <w:rPr>
          <w:rFonts w:hint="eastAsia"/>
          <w:strike w:val="0"/>
          <w:dstrike w:val="0"/>
        </w:rPr>
        <w:t>公告期限</w:t>
      </w:r>
      <w:bookmarkEnd w:id="61"/>
      <w:bookmarkEnd w:id="62"/>
      <w:bookmarkEnd w:id="63"/>
      <w:bookmarkEnd w:id="64"/>
      <w:bookmarkEnd w:id="65"/>
      <w:bookmarkEnd w:id="66"/>
      <w:bookmarkEnd w:id="67"/>
      <w:bookmarkEnd w:id="68"/>
    </w:p>
    <w:p w14:paraId="34898EA7">
      <w:pPr>
        <w:pStyle w:val="32"/>
        <w:ind w:firstLine="480"/>
        <w:rPr>
          <w:strike w:val="0"/>
          <w:dstrike w:val="0"/>
        </w:rPr>
      </w:pPr>
      <w:r>
        <w:rPr>
          <w:rFonts w:hint="eastAsia"/>
          <w:strike w:val="0"/>
          <w:dstrike w:val="0"/>
        </w:rPr>
        <w:t>自本公告发布之日起</w:t>
      </w:r>
      <w:r>
        <w:rPr>
          <w:rFonts w:hint="eastAsia"/>
          <w:strike w:val="0"/>
          <w:dstrike w:val="0"/>
          <w:lang w:val="en-US" w:eastAsia="zh-CN"/>
        </w:rPr>
        <w:t>5</w:t>
      </w:r>
      <w:r>
        <w:rPr>
          <w:rFonts w:hint="eastAsia"/>
          <w:strike w:val="0"/>
          <w:dstrike w:val="0"/>
        </w:rPr>
        <w:t>个工作日。</w:t>
      </w:r>
    </w:p>
    <w:p w14:paraId="37AF316E">
      <w:pPr>
        <w:pStyle w:val="3"/>
        <w:numPr>
          <w:ilvl w:val="0"/>
          <w:numId w:val="2"/>
        </w:numPr>
      </w:pPr>
      <w:bookmarkStart w:id="69" w:name="_Toc109900365"/>
      <w:bookmarkStart w:id="70" w:name="_Toc109899527"/>
      <w:bookmarkStart w:id="71" w:name="_Toc109899946"/>
      <w:bookmarkStart w:id="72" w:name="_Toc28781"/>
      <w:bookmarkStart w:id="73" w:name="_Toc109897428"/>
      <w:bookmarkStart w:id="74" w:name="_Toc25205"/>
      <w:bookmarkStart w:id="75" w:name="_Toc163493606"/>
      <w:bookmarkStart w:id="76" w:name="_Toc29435"/>
      <w:r>
        <w:rPr>
          <w:rFonts w:hint="eastAsia"/>
        </w:rPr>
        <w:t>其他补充事宜</w:t>
      </w:r>
      <w:bookmarkEnd w:id="69"/>
      <w:bookmarkEnd w:id="70"/>
      <w:bookmarkEnd w:id="71"/>
      <w:bookmarkEnd w:id="72"/>
      <w:bookmarkEnd w:id="73"/>
      <w:bookmarkEnd w:id="74"/>
      <w:bookmarkEnd w:id="75"/>
      <w:bookmarkEnd w:id="76"/>
    </w:p>
    <w:p w14:paraId="352BC85F">
      <w:pPr>
        <w:adjustRightInd w:val="0"/>
        <w:snapToGrid w:val="0"/>
        <w:ind w:firstLine="480" w:firstLineChars="200"/>
        <w:rPr>
          <w:rFonts w:hint="eastAsia" w:eastAsia="宋体" w:cs="仿宋_GB2312"/>
          <w:bCs/>
          <w:color w:val="auto"/>
          <w:szCs w:val="24"/>
          <w:lang w:val="en-US" w:eastAsia="zh-CN"/>
        </w:rPr>
      </w:pPr>
      <w:r>
        <w:rPr>
          <w:rFonts w:hint="eastAsia" w:cs="仿宋_GB2312"/>
          <w:bCs/>
          <w:color w:val="auto"/>
          <w:szCs w:val="24"/>
          <w:lang w:val="en-US" w:eastAsia="zh-CN"/>
        </w:rPr>
        <w:t>/</w:t>
      </w:r>
    </w:p>
    <w:p w14:paraId="3301DA4A">
      <w:pPr>
        <w:pStyle w:val="3"/>
        <w:numPr>
          <w:ilvl w:val="0"/>
          <w:numId w:val="2"/>
        </w:numPr>
      </w:pPr>
      <w:bookmarkStart w:id="77" w:name="_Toc163493607"/>
      <w:bookmarkStart w:id="78" w:name="_Toc109900366"/>
      <w:bookmarkStart w:id="79" w:name="_Toc109897429"/>
      <w:bookmarkStart w:id="80" w:name="_Toc18654"/>
      <w:bookmarkStart w:id="81" w:name="_Toc766"/>
      <w:bookmarkStart w:id="82" w:name="_Toc109899528"/>
      <w:bookmarkStart w:id="83" w:name="_Toc109899947"/>
      <w:bookmarkStart w:id="84" w:name="_Toc6033"/>
      <w:r>
        <w:rPr>
          <w:rFonts w:hint="eastAsia"/>
        </w:rPr>
        <w:t>联系方式</w:t>
      </w:r>
      <w:bookmarkEnd w:id="77"/>
      <w:bookmarkEnd w:id="78"/>
      <w:bookmarkEnd w:id="79"/>
      <w:bookmarkEnd w:id="80"/>
      <w:bookmarkEnd w:id="81"/>
      <w:bookmarkEnd w:id="82"/>
      <w:bookmarkEnd w:id="83"/>
      <w:bookmarkEnd w:id="84"/>
    </w:p>
    <w:bookmarkEnd w:id="18"/>
    <w:p w14:paraId="155DB70F">
      <w:pPr>
        <w:ind w:firstLine="480" w:firstLineChars="200"/>
        <w:rPr>
          <w:rFonts w:cs="仿宋_GB2312"/>
        </w:rPr>
      </w:pPr>
      <w:r>
        <w:rPr>
          <w:rFonts w:hint="eastAsia" w:cs="仿宋_GB2312"/>
        </w:rPr>
        <w:t>1.采购人信息</w:t>
      </w:r>
    </w:p>
    <w:p w14:paraId="60AA1BF6">
      <w:pPr>
        <w:ind w:firstLine="480" w:firstLineChars="200"/>
        <w:rPr>
          <w:rFonts w:hint="eastAsia"/>
        </w:rPr>
      </w:pPr>
      <w:r>
        <w:rPr>
          <w:rFonts w:hint="eastAsia"/>
        </w:rPr>
        <w:t>名  称：潜江市章华高级中学</w:t>
      </w:r>
    </w:p>
    <w:p w14:paraId="4DC27D86">
      <w:pPr>
        <w:ind w:firstLine="480" w:firstLineChars="200"/>
        <w:rPr>
          <w:rFonts w:hint="eastAsia"/>
        </w:rPr>
      </w:pPr>
      <w:r>
        <w:rPr>
          <w:rFonts w:hint="eastAsia"/>
        </w:rPr>
        <w:t>地  址：潜江市章华南路刘岭街3号</w:t>
      </w:r>
    </w:p>
    <w:p w14:paraId="7893101E">
      <w:pPr>
        <w:ind w:firstLine="480" w:firstLineChars="200"/>
        <w:rPr>
          <w:rFonts w:hint="eastAsia"/>
        </w:rPr>
      </w:pPr>
      <w:r>
        <w:rPr>
          <w:rFonts w:hint="eastAsia"/>
        </w:rPr>
        <w:t>联系人：王先生</w:t>
      </w:r>
    </w:p>
    <w:p w14:paraId="0273A346">
      <w:pPr>
        <w:ind w:firstLine="480" w:firstLineChars="200"/>
        <w:rPr>
          <w:rFonts w:hint="eastAsia" w:eastAsia="宋体" w:cs="仿宋_GB2312"/>
          <w:color w:val="auto"/>
          <w:lang w:val="en-US" w:eastAsia="zh-CN"/>
        </w:rPr>
      </w:pPr>
      <w:r>
        <w:rPr>
          <w:rFonts w:hint="eastAsia"/>
        </w:rPr>
        <w:t>联系方式：15327839555</w:t>
      </w:r>
    </w:p>
    <w:bookmarkEnd w:id="19"/>
    <w:p w14:paraId="71645867">
      <w:pPr>
        <w:rPr>
          <w:rFonts w:hint="eastAsia" w:cs="仿宋_GB2312"/>
        </w:rPr>
      </w:pPr>
      <w:r>
        <w:rPr>
          <w:rFonts w:hint="eastAsia" w:cs="仿宋_GB2312"/>
        </w:rPr>
        <w:t>2、采购代理机构信息</w:t>
      </w:r>
    </w:p>
    <w:p w14:paraId="579056D3">
      <w:pPr>
        <w:rPr>
          <w:rFonts w:hint="eastAsia" w:cs="仿宋_GB2312"/>
        </w:rPr>
      </w:pPr>
      <w:r>
        <w:rPr>
          <w:rFonts w:hint="eastAsia" w:cs="仿宋_GB2312"/>
        </w:rPr>
        <w:t xml:space="preserve">名   称：潜江市鲲展工程项目管理有限公司 </w:t>
      </w:r>
    </w:p>
    <w:p w14:paraId="7652F534">
      <w:pPr>
        <w:rPr>
          <w:rFonts w:hint="eastAsia" w:cs="仿宋_GB2312"/>
        </w:rPr>
      </w:pPr>
      <w:r>
        <w:rPr>
          <w:rFonts w:hint="eastAsia" w:cs="仿宋_GB2312"/>
        </w:rPr>
        <w:t>地   址：潜江市园林街道办事处章华南路10号</w:t>
      </w:r>
    </w:p>
    <w:p w14:paraId="29A63530">
      <w:pPr>
        <w:rPr>
          <w:rFonts w:hint="eastAsia" w:cs="仿宋_GB2312"/>
        </w:rPr>
      </w:pPr>
      <w:r>
        <w:rPr>
          <w:rFonts w:hint="eastAsia" w:cs="仿宋_GB2312"/>
        </w:rPr>
        <w:t>联系方式：19318072921</w:t>
      </w:r>
    </w:p>
    <w:p w14:paraId="65FE6263">
      <w:pPr>
        <w:rPr>
          <w:rFonts w:hint="eastAsia" w:cs="仿宋_GB2312"/>
        </w:rPr>
      </w:pPr>
      <w:r>
        <w:rPr>
          <w:rFonts w:hint="eastAsia" w:cs="仿宋_GB2312"/>
        </w:rPr>
        <w:t>3、项目联系方式</w:t>
      </w:r>
    </w:p>
    <w:p w14:paraId="6FC1376F">
      <w:pPr>
        <w:rPr>
          <w:rFonts w:hint="eastAsia" w:cs="仿宋_GB2312"/>
        </w:rPr>
      </w:pPr>
      <w:r>
        <w:rPr>
          <w:rFonts w:hint="eastAsia" w:cs="仿宋_GB2312"/>
        </w:rPr>
        <w:t>项目联系人：彭女士</w:t>
      </w:r>
    </w:p>
    <w:p w14:paraId="35606623">
      <w:pPr>
        <w:rPr>
          <w:rFonts w:hint="eastAsia" w:eastAsia="宋体"/>
          <w:lang w:eastAsia="zh-CN"/>
        </w:rPr>
      </w:pPr>
      <w:r>
        <w:rPr>
          <w:rFonts w:hint="eastAsia" w:cs="仿宋_GB2312"/>
        </w:rPr>
        <w:t>电   话：19318072921</w:t>
      </w:r>
    </w:p>
    <w:p w14:paraId="6012B52B">
      <w:p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D7B3758">
      <w:pPr>
        <w:pStyle w:val="2"/>
        <w:keepNext/>
        <w:keepLines/>
        <w:pageBreakBefore w:val="0"/>
        <w:widowControl w:val="0"/>
        <w:numPr>
          <w:ilvl w:val="0"/>
          <w:numId w:val="1"/>
        </w:numPr>
        <w:kinsoku/>
        <w:wordWrap/>
        <w:overflowPunct/>
        <w:topLinePunct w:val="0"/>
        <w:autoSpaceDE/>
        <w:autoSpaceDN/>
        <w:bidi w:val="0"/>
        <w:adjustRightInd/>
        <w:snapToGrid/>
        <w:ind w:left="0"/>
        <w:textAlignment w:val="auto"/>
      </w:pPr>
      <w:bookmarkStart w:id="85" w:name="_Toc100"/>
      <w:bookmarkStart w:id="86" w:name="_Toc18759"/>
      <w:bookmarkStart w:id="87" w:name="_Toc26796"/>
      <w:bookmarkStart w:id="88" w:name="_Toc163493608"/>
      <w:bookmarkStart w:id="89" w:name="_Toc8693"/>
      <w:bookmarkStart w:id="90" w:name="_Toc3382"/>
      <w:r>
        <w:rPr>
          <w:rFonts w:hint="eastAsia"/>
        </w:rPr>
        <w:t>供应商须知</w:t>
      </w:r>
      <w:bookmarkEnd w:id="85"/>
      <w:bookmarkEnd w:id="86"/>
      <w:bookmarkEnd w:id="87"/>
      <w:bookmarkEnd w:id="88"/>
      <w:bookmarkEnd w:id="89"/>
      <w:bookmarkEnd w:id="90"/>
    </w:p>
    <w:p w14:paraId="1607FACE">
      <w:pPr>
        <w:pStyle w:val="3"/>
        <w:numPr>
          <w:ilvl w:val="0"/>
          <w:numId w:val="6"/>
        </w:numPr>
      </w:pPr>
      <w:bookmarkStart w:id="91" w:name="_Toc29071"/>
      <w:bookmarkStart w:id="92" w:name="_Toc163493609"/>
      <w:bookmarkStart w:id="93" w:name="_Toc23974"/>
      <w:bookmarkStart w:id="94" w:name="_Toc31474"/>
      <w:r>
        <w:t>供应商须知前附表</w:t>
      </w:r>
      <w:bookmarkEnd w:id="91"/>
      <w:bookmarkEnd w:id="92"/>
      <w:bookmarkEnd w:id="93"/>
      <w:bookmarkEnd w:id="94"/>
    </w:p>
    <w:p w14:paraId="17169B39">
      <w:pPr>
        <w:pStyle w:val="32"/>
        <w:ind w:firstLine="480"/>
      </w:pPr>
      <w:r>
        <w:rPr>
          <w:rFonts w:hint="eastAsia"/>
        </w:rPr>
        <w:t>磋商供应商应仔细阅读本磋商文件的第二章“供应商须知”，下面所列资料是对“供应商须知”的具体补充和说明。如有矛盾，应以本表为准。</w:t>
      </w:r>
    </w:p>
    <w:tbl>
      <w:tblPr>
        <w:tblStyle w:val="26"/>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0FAA9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43ADF5F">
            <w:pPr>
              <w:pStyle w:val="43"/>
              <w:jc w:val="center"/>
              <w:rPr>
                <w:b/>
                <w:bCs/>
                <w:sz w:val="24"/>
              </w:rPr>
            </w:pPr>
            <w:bookmarkStart w:id="95" w:name="_Hlk161703381"/>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A51D0C6">
            <w:pPr>
              <w:pStyle w:val="43"/>
              <w:jc w:val="center"/>
              <w:rPr>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D57597">
            <w:pPr>
              <w:pStyle w:val="43"/>
              <w:jc w:val="center"/>
              <w:rPr>
                <w:b/>
                <w:bCs/>
              </w:rPr>
            </w:pPr>
            <w:r>
              <w:rPr>
                <w:rFonts w:hint="eastAsia"/>
                <w:b/>
                <w:bCs/>
              </w:rPr>
              <w:t>内  容</w:t>
            </w:r>
          </w:p>
        </w:tc>
      </w:tr>
      <w:tr w14:paraId="48FC2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11705A3A">
            <w:pPr>
              <w:pStyle w:val="43"/>
              <w:jc w:val="center"/>
              <w:rPr>
                <w:rFonts w:hint="eastAsia" w:eastAsia="宋体"/>
                <w:lang w:eastAsia="zh-CN"/>
              </w:rPr>
            </w:pPr>
            <w:r>
              <w:rPr>
                <w:rFonts w:hint="eastAsia"/>
                <w:lang w:val="en-US" w:eastAsia="zh-CN"/>
              </w:rPr>
              <w:t>1</w:t>
            </w:r>
          </w:p>
        </w:tc>
        <w:tc>
          <w:tcPr>
            <w:tcW w:w="1721" w:type="dxa"/>
            <w:tcBorders>
              <w:top w:val="single" w:color="auto" w:sz="4" w:space="0"/>
              <w:left w:val="single" w:color="auto" w:sz="2" w:space="0"/>
              <w:bottom w:val="single" w:color="auto" w:sz="2" w:space="0"/>
              <w:right w:val="single" w:color="auto" w:sz="2" w:space="0"/>
            </w:tcBorders>
            <w:vAlign w:val="center"/>
          </w:tcPr>
          <w:p w14:paraId="303097B2">
            <w:pPr>
              <w:pStyle w:val="43"/>
              <w:rPr>
                <w:strike w:val="0"/>
                <w:dstrike w:val="0"/>
              </w:rPr>
            </w:pPr>
            <w:r>
              <w:rPr>
                <w:rFonts w:hint="eastAsia"/>
                <w:strike w:val="0"/>
                <w:dstrike w:val="0"/>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69028E3D">
            <w:pPr>
              <w:pStyle w:val="43"/>
              <w:rPr>
                <w:rFonts w:hint="eastAsia" w:eastAsia="宋体"/>
                <w:strike/>
                <w:dstrike w:val="0"/>
                <w:lang w:eastAsia="zh-CN"/>
              </w:rPr>
            </w:pPr>
            <w:r>
              <w:rPr>
                <w:rFonts w:hint="eastAsia"/>
                <w:color w:val="auto"/>
                <w:lang w:eastAsia="zh-CN"/>
              </w:rPr>
              <w:t>潜江市章华高级中学</w:t>
            </w:r>
          </w:p>
        </w:tc>
      </w:tr>
      <w:tr w14:paraId="1A623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8DEAD2A">
            <w:pPr>
              <w:pStyle w:val="43"/>
              <w:jc w:val="center"/>
              <w:rPr>
                <w:rFonts w:hint="eastAsia" w:eastAsia="宋体"/>
                <w:lang w:eastAsia="zh-CN"/>
              </w:rPr>
            </w:pPr>
            <w:r>
              <w:rPr>
                <w:rFonts w:hint="eastAsia"/>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777FD82">
            <w:pPr>
              <w:pStyle w:val="43"/>
              <w:rPr>
                <w:strike w:val="0"/>
              </w:rPr>
            </w:pPr>
            <w:r>
              <w:rPr>
                <w:rFonts w:hint="eastAsia"/>
                <w:strike w:val="0"/>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1E868AE8">
            <w:pPr>
              <w:pStyle w:val="43"/>
              <w:rPr>
                <w:rFonts w:hint="default" w:eastAsia="宋体"/>
                <w:lang w:val="en-US" w:eastAsia="zh-CN"/>
              </w:rPr>
            </w:pPr>
            <w:r>
              <w:rPr>
                <w:rFonts w:hint="eastAsia"/>
                <w:lang w:val="en-US" w:eastAsia="zh-CN"/>
              </w:rPr>
              <w:t>潜江市鲲展工程项目管理有限公司</w:t>
            </w:r>
          </w:p>
        </w:tc>
      </w:tr>
      <w:tr w14:paraId="6EDF3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17B8163">
            <w:pPr>
              <w:pStyle w:val="43"/>
              <w:jc w:val="center"/>
              <w:rPr>
                <w:rFonts w:hint="eastAsia" w:eastAsia="宋体"/>
                <w:lang w:eastAsia="zh-CN"/>
              </w:rPr>
            </w:pPr>
            <w:r>
              <w:rPr>
                <w:rFonts w:hint="eastAsia"/>
                <w:lang w:val="en-US" w:eastAsia="zh-CN"/>
              </w:rPr>
              <w:t>3</w:t>
            </w:r>
          </w:p>
        </w:tc>
        <w:tc>
          <w:tcPr>
            <w:tcW w:w="1721" w:type="dxa"/>
            <w:tcBorders>
              <w:top w:val="single" w:color="auto" w:sz="2" w:space="0"/>
              <w:left w:val="single" w:color="auto" w:sz="2" w:space="0"/>
              <w:bottom w:val="single" w:color="auto" w:sz="2" w:space="0"/>
              <w:right w:val="single" w:color="auto" w:sz="2" w:space="0"/>
            </w:tcBorders>
            <w:vAlign w:val="center"/>
          </w:tcPr>
          <w:p w14:paraId="3521916A">
            <w:pPr>
              <w:pStyle w:val="43"/>
              <w:rPr>
                <w:strike w:val="0"/>
              </w:rPr>
            </w:pPr>
            <w:r>
              <w:rPr>
                <w:rFonts w:hint="eastAsia"/>
                <w:strike w:val="0"/>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06DD325E">
            <w:pPr>
              <w:pStyle w:val="43"/>
            </w:pPr>
            <w:r>
              <w:rPr>
                <w:rFonts w:hint="eastAsia"/>
                <w:lang w:val="en-US" w:eastAsia="zh-CN"/>
              </w:rPr>
              <w:t>潜江市政府采购办公室</w:t>
            </w:r>
          </w:p>
        </w:tc>
      </w:tr>
      <w:tr w14:paraId="31FBC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00DB59">
            <w:pPr>
              <w:pStyle w:val="43"/>
              <w:jc w:val="center"/>
              <w:rPr>
                <w:rFonts w:hint="eastAsia" w:eastAsia="宋体"/>
                <w:lang w:eastAsia="zh-CN"/>
              </w:rPr>
            </w:pPr>
            <w:r>
              <w:rPr>
                <w:rFonts w:hint="eastAsia"/>
                <w:lang w:val="en-US" w:eastAsia="zh-CN"/>
              </w:rPr>
              <w:t>4</w:t>
            </w:r>
          </w:p>
        </w:tc>
        <w:tc>
          <w:tcPr>
            <w:tcW w:w="1721" w:type="dxa"/>
            <w:tcBorders>
              <w:top w:val="single" w:color="auto" w:sz="2" w:space="0"/>
              <w:left w:val="single" w:color="auto" w:sz="2" w:space="0"/>
              <w:bottom w:val="single" w:color="auto" w:sz="2" w:space="0"/>
              <w:right w:val="single" w:color="auto" w:sz="2" w:space="0"/>
            </w:tcBorders>
            <w:vAlign w:val="center"/>
          </w:tcPr>
          <w:p w14:paraId="2E888686">
            <w:pPr>
              <w:pStyle w:val="43"/>
              <w:rPr>
                <w:strike w:val="0"/>
                <w:dstrike w:val="0"/>
              </w:rPr>
            </w:pPr>
            <w:r>
              <w:rPr>
                <w:rFonts w:hint="eastAsia"/>
                <w:strike w:val="0"/>
                <w:dstrike w:val="0"/>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3D77DBB6">
            <w:pPr>
              <w:pStyle w:val="43"/>
              <w:rPr>
                <w:rFonts w:hint="eastAsia" w:eastAsia="宋体"/>
                <w:strike/>
                <w:dstrike w:val="0"/>
                <w:lang w:eastAsia="zh-CN"/>
              </w:rPr>
            </w:pPr>
            <w:r>
              <w:rPr>
                <w:rFonts w:hint="eastAsia"/>
                <w:color w:val="auto"/>
                <w:u w:val="none"/>
                <w:lang w:eastAsia="zh-CN"/>
              </w:rPr>
              <w:t>章华高中设备搬迁项目第二次</w:t>
            </w:r>
          </w:p>
        </w:tc>
      </w:tr>
      <w:tr w14:paraId="2EE87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DDE44E">
            <w:pPr>
              <w:pStyle w:val="43"/>
              <w:jc w:val="center"/>
              <w:rPr>
                <w:rFonts w:hint="eastAsia" w:eastAsia="宋体"/>
                <w:lang w:eastAsia="zh-CN"/>
              </w:rPr>
            </w:pPr>
            <w:r>
              <w:rPr>
                <w:rFonts w:hint="eastAsia"/>
                <w:lang w:val="en-US" w:eastAsia="zh-CN"/>
              </w:rPr>
              <w:t>5</w:t>
            </w:r>
          </w:p>
        </w:tc>
        <w:tc>
          <w:tcPr>
            <w:tcW w:w="1721" w:type="dxa"/>
            <w:tcBorders>
              <w:top w:val="single" w:color="auto" w:sz="2" w:space="0"/>
              <w:left w:val="single" w:color="auto" w:sz="2" w:space="0"/>
              <w:bottom w:val="single" w:color="auto" w:sz="2" w:space="0"/>
              <w:right w:val="single" w:color="auto" w:sz="2" w:space="0"/>
            </w:tcBorders>
            <w:vAlign w:val="center"/>
          </w:tcPr>
          <w:p w14:paraId="23AA9FF3">
            <w:pPr>
              <w:pStyle w:val="43"/>
              <w:rPr>
                <w:strike w:val="0"/>
                <w:dstrike w:val="0"/>
                <w:color w:val="auto"/>
              </w:rPr>
            </w:pPr>
            <w:r>
              <w:rPr>
                <w:rFonts w:hint="eastAsia"/>
                <w:strike w:val="0"/>
                <w:dstrike w:val="0"/>
                <w:color w:val="auto"/>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7B18F479">
            <w:pPr>
              <w:pStyle w:val="43"/>
              <w:rPr>
                <w:strike/>
                <w:dstrike w:val="0"/>
                <w:color w:val="auto"/>
              </w:rPr>
            </w:pPr>
            <w:r>
              <w:rPr>
                <w:rFonts w:hint="eastAsia"/>
                <w:color w:val="auto"/>
                <w:u w:val="none"/>
                <w:lang w:val="en-US" w:eastAsia="zh-CN"/>
              </w:rPr>
              <w:t>潜江市</w:t>
            </w:r>
          </w:p>
        </w:tc>
      </w:tr>
      <w:tr w14:paraId="26E86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B6E6540">
            <w:pPr>
              <w:pStyle w:val="43"/>
              <w:jc w:val="center"/>
              <w:rPr>
                <w:rFonts w:hint="eastAsia" w:eastAsia="宋体"/>
                <w:lang w:eastAsia="zh-CN"/>
              </w:rPr>
            </w:pPr>
            <w:r>
              <w:rPr>
                <w:rFonts w:hint="eastAsia"/>
                <w:lang w:val="en-US" w:eastAsia="zh-CN"/>
              </w:rPr>
              <w:t>6</w:t>
            </w:r>
          </w:p>
        </w:tc>
        <w:tc>
          <w:tcPr>
            <w:tcW w:w="1721" w:type="dxa"/>
            <w:tcBorders>
              <w:top w:val="single" w:color="auto" w:sz="2" w:space="0"/>
              <w:left w:val="single" w:color="auto" w:sz="2" w:space="0"/>
              <w:bottom w:val="single" w:color="auto" w:sz="2" w:space="0"/>
              <w:right w:val="single" w:color="auto" w:sz="2" w:space="0"/>
            </w:tcBorders>
            <w:vAlign w:val="center"/>
          </w:tcPr>
          <w:p w14:paraId="6749A537">
            <w:pPr>
              <w:pStyle w:val="43"/>
              <w:rPr>
                <w:strike w:val="0"/>
                <w:dstrike w:val="0"/>
              </w:rPr>
            </w:pPr>
            <w:r>
              <w:rPr>
                <w:rFonts w:hint="eastAsia"/>
                <w:strike w:val="0"/>
                <w:dstrike w:val="0"/>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49E80718">
            <w:pPr>
              <w:numPr>
                <w:ilvl w:val="0"/>
                <w:numId w:val="0"/>
              </w:numPr>
              <w:rPr>
                <w:rFonts w:hint="default"/>
                <w:strike/>
                <w:dstrike w:val="0"/>
                <w:lang w:val="en-US"/>
              </w:rPr>
            </w:pPr>
            <w:r>
              <w:rPr>
                <w:rFonts w:hint="eastAsia" w:cstheme="minorBidi"/>
                <w:color w:val="auto"/>
                <w:kern w:val="2"/>
                <w:sz w:val="21"/>
                <w:szCs w:val="22"/>
                <w:u w:val="none"/>
                <w:lang w:val="en-US" w:eastAsia="zh-CN" w:bidi="ar-SA"/>
              </w:rPr>
              <w:t>详见竞争性磋商文件第三章</w:t>
            </w:r>
          </w:p>
        </w:tc>
      </w:tr>
      <w:tr w14:paraId="33EF5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A6DB3A8">
            <w:pPr>
              <w:pStyle w:val="43"/>
              <w:jc w:val="center"/>
              <w:rPr>
                <w:rFonts w:hint="eastAsia" w:eastAsia="宋体"/>
                <w:lang w:eastAsia="zh-CN"/>
              </w:rPr>
            </w:pPr>
            <w:r>
              <w:rPr>
                <w:rFonts w:hint="eastAsia"/>
                <w:lang w:val="en-US" w:eastAsia="zh-CN"/>
              </w:rPr>
              <w:t>7</w:t>
            </w:r>
          </w:p>
        </w:tc>
        <w:tc>
          <w:tcPr>
            <w:tcW w:w="1721" w:type="dxa"/>
            <w:tcBorders>
              <w:top w:val="single" w:color="auto" w:sz="2" w:space="0"/>
              <w:left w:val="single" w:color="auto" w:sz="2" w:space="0"/>
              <w:bottom w:val="single" w:color="auto" w:sz="2" w:space="0"/>
              <w:right w:val="single" w:color="auto" w:sz="2" w:space="0"/>
            </w:tcBorders>
            <w:vAlign w:val="center"/>
          </w:tcPr>
          <w:p w14:paraId="37D6C988">
            <w:pPr>
              <w:pStyle w:val="43"/>
            </w:pPr>
            <w:r>
              <w:rPr>
                <w:rFonts w:hint="eastAsia"/>
              </w:rPr>
              <w:t>项目属性</w:t>
            </w:r>
          </w:p>
        </w:tc>
        <w:tc>
          <w:tcPr>
            <w:tcW w:w="5844" w:type="dxa"/>
            <w:tcBorders>
              <w:top w:val="single" w:color="auto" w:sz="2" w:space="0"/>
              <w:left w:val="single" w:color="auto" w:sz="2" w:space="0"/>
              <w:bottom w:val="single" w:color="auto" w:sz="2" w:space="0"/>
              <w:right w:val="single" w:color="auto" w:sz="2" w:space="0"/>
            </w:tcBorders>
            <w:vAlign w:val="center"/>
          </w:tcPr>
          <w:p w14:paraId="3F313A29">
            <w:pPr>
              <w:pStyle w:val="43"/>
              <w:rPr>
                <w:rFonts w:hint="eastAsia" w:eastAsia="宋体"/>
                <w:lang w:eastAsia="zh-CN"/>
              </w:rPr>
            </w:pPr>
            <w:r>
              <w:rPr>
                <w:rFonts w:hint="eastAsia"/>
                <w:lang w:val="en-US" w:eastAsia="zh-CN"/>
              </w:rPr>
              <w:t>服务</w:t>
            </w:r>
          </w:p>
        </w:tc>
      </w:tr>
      <w:tr w14:paraId="1942B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912AF33">
            <w:pPr>
              <w:pStyle w:val="43"/>
              <w:jc w:val="center"/>
              <w:rPr>
                <w:rFonts w:hint="eastAsia" w:eastAsia="宋体"/>
                <w:lang w:eastAsia="zh-CN"/>
              </w:rPr>
            </w:pPr>
            <w:r>
              <w:rPr>
                <w:rFonts w:hint="eastAsia"/>
                <w:lang w:val="en-US" w:eastAsia="zh-CN"/>
              </w:rPr>
              <w:t>8</w:t>
            </w:r>
          </w:p>
        </w:tc>
        <w:tc>
          <w:tcPr>
            <w:tcW w:w="1721" w:type="dxa"/>
            <w:tcBorders>
              <w:top w:val="single" w:color="auto" w:sz="2" w:space="0"/>
              <w:left w:val="single" w:color="auto" w:sz="2" w:space="0"/>
              <w:bottom w:val="single" w:color="auto" w:sz="2" w:space="0"/>
              <w:right w:val="single" w:color="auto" w:sz="2" w:space="0"/>
            </w:tcBorders>
            <w:vAlign w:val="center"/>
          </w:tcPr>
          <w:p w14:paraId="6514E908">
            <w:pPr>
              <w:pStyle w:val="43"/>
            </w:pPr>
            <w:r>
              <w:rPr>
                <w:rFonts w:hint="eastAsia"/>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3DCB9956">
            <w:pPr>
              <w:pStyle w:val="43"/>
            </w:pPr>
            <w:r>
              <w:rPr>
                <w:rFonts w:hint="eastAsia"/>
              </w:rPr>
              <w:t>财政性资金：</w:t>
            </w:r>
            <w:r>
              <w:rPr>
                <w:rFonts w:hint="eastAsia" w:cs="仿宋_GB2312"/>
                <w:szCs w:val="24"/>
                <w:u w:val="single"/>
                <w:lang w:eastAsia="zh-CN"/>
              </w:rPr>
              <w:t>307764.44元</w:t>
            </w:r>
            <w:r>
              <w:rPr>
                <w:rFonts w:hint="eastAsia"/>
              </w:rPr>
              <w:t>，非财政性资金：</w:t>
            </w:r>
            <w:r>
              <w:rPr>
                <w:u w:val="single"/>
              </w:rPr>
              <w:t xml:space="preserve">  </w:t>
            </w:r>
            <w:r>
              <w:rPr>
                <w:rFonts w:hint="eastAsia"/>
                <w:u w:val="single"/>
                <w:lang w:val="en-US" w:eastAsia="zh-CN"/>
              </w:rPr>
              <w:t>/</w:t>
            </w:r>
            <w:r>
              <w:rPr>
                <w:u w:val="single"/>
              </w:rPr>
              <w:t xml:space="preserve"> </w:t>
            </w:r>
            <w:r>
              <w:rPr>
                <w:rFonts w:hint="eastAsia"/>
                <w:u w:val="none"/>
                <w:lang w:val="en-US" w:eastAsia="zh-CN"/>
              </w:rPr>
              <w:t>万</w:t>
            </w:r>
            <w:r>
              <w:rPr>
                <w:rFonts w:hint="eastAsia"/>
              </w:rPr>
              <w:t>元。</w:t>
            </w:r>
          </w:p>
        </w:tc>
      </w:tr>
      <w:tr w14:paraId="3889F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72B9EF">
            <w:pPr>
              <w:pStyle w:val="43"/>
              <w:jc w:val="center"/>
              <w:rPr>
                <w:rFonts w:hint="eastAsia" w:eastAsia="宋体"/>
                <w:lang w:eastAsia="zh-CN"/>
              </w:rPr>
            </w:pPr>
            <w:r>
              <w:rPr>
                <w:rFonts w:hint="eastAsia"/>
                <w:lang w:val="en-US" w:eastAsia="zh-CN"/>
              </w:rPr>
              <w:t>9</w:t>
            </w:r>
          </w:p>
        </w:tc>
        <w:tc>
          <w:tcPr>
            <w:tcW w:w="1721" w:type="dxa"/>
            <w:tcBorders>
              <w:top w:val="single" w:color="auto" w:sz="2" w:space="0"/>
              <w:left w:val="single" w:color="auto" w:sz="2" w:space="0"/>
              <w:bottom w:val="single" w:color="auto" w:sz="2" w:space="0"/>
              <w:right w:val="single" w:color="auto" w:sz="2" w:space="0"/>
            </w:tcBorders>
            <w:vAlign w:val="center"/>
          </w:tcPr>
          <w:p w14:paraId="7B52E6B7">
            <w:pPr>
              <w:pStyle w:val="43"/>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70ABB9AD">
            <w:pPr>
              <w:pStyle w:val="43"/>
            </w:pPr>
            <w:r>
              <w:rPr>
                <w:rFonts w:hint="eastAsia"/>
              </w:rPr>
              <w:t>详见第一章“竞争性磋商邀请”第二项“供应商资格要求”。</w:t>
            </w:r>
          </w:p>
        </w:tc>
      </w:tr>
      <w:tr w14:paraId="756BB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D590BF">
            <w:pPr>
              <w:pStyle w:val="43"/>
              <w:jc w:val="center"/>
              <w:rPr>
                <w:rFonts w:hint="default" w:eastAsia="宋体"/>
                <w:lang w:val="en-US" w:eastAsia="zh-CN"/>
              </w:rPr>
            </w:pPr>
            <w:r>
              <w:rPr>
                <w:rFonts w:hint="eastAsia"/>
                <w:lang w:val="en-US" w:eastAsia="zh-CN"/>
              </w:rPr>
              <w:t>10</w:t>
            </w:r>
          </w:p>
        </w:tc>
        <w:tc>
          <w:tcPr>
            <w:tcW w:w="1721" w:type="dxa"/>
            <w:tcBorders>
              <w:top w:val="single" w:color="auto" w:sz="2" w:space="0"/>
              <w:left w:val="single" w:color="auto" w:sz="2" w:space="0"/>
              <w:bottom w:val="single" w:color="auto" w:sz="2" w:space="0"/>
              <w:right w:val="single" w:color="auto" w:sz="2" w:space="0"/>
            </w:tcBorders>
            <w:vAlign w:val="center"/>
          </w:tcPr>
          <w:p w14:paraId="64EA0C65">
            <w:pPr>
              <w:pStyle w:val="43"/>
            </w:pPr>
            <w:r>
              <w:rPr>
                <w:rFonts w:hint="eastAsia"/>
              </w:rPr>
              <w:t>是否接受联合体磋商</w:t>
            </w:r>
          </w:p>
        </w:tc>
        <w:tc>
          <w:tcPr>
            <w:tcW w:w="5844" w:type="dxa"/>
            <w:tcBorders>
              <w:top w:val="single" w:color="auto" w:sz="2" w:space="0"/>
              <w:left w:val="single" w:color="auto" w:sz="2" w:space="0"/>
              <w:bottom w:val="single" w:color="auto" w:sz="2" w:space="0"/>
              <w:right w:val="single" w:color="auto" w:sz="2" w:space="0"/>
            </w:tcBorders>
            <w:vAlign w:val="center"/>
          </w:tcPr>
          <w:p w14:paraId="7DB9C32F">
            <w:pPr>
              <w:pStyle w:val="43"/>
            </w:pPr>
            <w:r>
              <w:rPr>
                <w:rFonts w:hint="eastAsia"/>
              </w:rPr>
              <w:t>不接受</w:t>
            </w:r>
          </w:p>
        </w:tc>
      </w:tr>
      <w:tr w14:paraId="0CBFD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2698B7A">
            <w:pPr>
              <w:pStyle w:val="43"/>
              <w:jc w:val="center"/>
              <w:rPr>
                <w:rFonts w:hint="default" w:eastAsia="宋体"/>
                <w:lang w:val="en-US" w:eastAsia="zh-CN"/>
              </w:rPr>
            </w:pPr>
            <w:r>
              <w:rPr>
                <w:rFonts w:hint="eastAsia"/>
                <w:lang w:val="en-US" w:eastAsia="zh-CN"/>
              </w:rPr>
              <w:t>11</w:t>
            </w:r>
          </w:p>
        </w:tc>
        <w:tc>
          <w:tcPr>
            <w:tcW w:w="1721" w:type="dxa"/>
            <w:tcBorders>
              <w:top w:val="single" w:color="auto" w:sz="2" w:space="0"/>
              <w:left w:val="single" w:color="auto" w:sz="2" w:space="0"/>
              <w:bottom w:val="single" w:color="auto" w:sz="2" w:space="0"/>
              <w:right w:val="single" w:color="auto" w:sz="2" w:space="0"/>
            </w:tcBorders>
            <w:vAlign w:val="center"/>
          </w:tcPr>
          <w:p w14:paraId="3435D0C2">
            <w:pPr>
              <w:pStyle w:val="43"/>
            </w:pPr>
            <w:bookmarkStart w:id="96" w:name="_Hlk143529175"/>
            <w:r>
              <w:rPr>
                <w:rFonts w:hint="eastAsia"/>
              </w:rPr>
              <w:t>现场考察和答疑会</w:t>
            </w:r>
            <w:bookmarkEnd w:id="96"/>
          </w:p>
        </w:tc>
        <w:tc>
          <w:tcPr>
            <w:tcW w:w="5844" w:type="dxa"/>
            <w:tcBorders>
              <w:top w:val="single" w:color="auto" w:sz="2" w:space="0"/>
              <w:left w:val="single" w:color="auto" w:sz="2" w:space="0"/>
              <w:bottom w:val="single" w:color="auto" w:sz="2" w:space="0"/>
              <w:right w:val="single" w:color="auto" w:sz="2" w:space="0"/>
            </w:tcBorders>
            <w:vAlign w:val="center"/>
          </w:tcPr>
          <w:p w14:paraId="5EDBC032">
            <w:pPr>
              <w:pStyle w:val="43"/>
            </w:pPr>
            <w:r>
              <w:rPr>
                <w:rFonts w:hint="eastAsia"/>
              </w:rPr>
              <w:t>不组织，供应商自行前往</w:t>
            </w:r>
          </w:p>
        </w:tc>
      </w:tr>
      <w:tr w14:paraId="040F2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5336B65">
            <w:pPr>
              <w:pStyle w:val="43"/>
              <w:jc w:val="center"/>
              <w:rPr>
                <w:rFonts w:hint="default" w:eastAsia="宋体"/>
                <w:lang w:val="en-US" w:eastAsia="zh-CN"/>
              </w:rPr>
            </w:pPr>
            <w:r>
              <w:rPr>
                <w:rFonts w:hint="eastAsia"/>
                <w:lang w:val="en-US" w:eastAsia="zh-CN"/>
              </w:rPr>
              <w:t>12</w:t>
            </w:r>
          </w:p>
        </w:tc>
        <w:tc>
          <w:tcPr>
            <w:tcW w:w="1721" w:type="dxa"/>
            <w:tcBorders>
              <w:top w:val="single" w:color="auto" w:sz="2" w:space="0"/>
              <w:left w:val="single" w:color="auto" w:sz="2" w:space="0"/>
              <w:bottom w:val="single" w:color="auto" w:sz="2" w:space="0"/>
              <w:right w:val="single" w:color="auto" w:sz="2" w:space="0"/>
            </w:tcBorders>
            <w:vAlign w:val="center"/>
          </w:tcPr>
          <w:p w14:paraId="3BFE6250">
            <w:pPr>
              <w:pStyle w:val="43"/>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1EF1A023">
            <w:pPr>
              <w:pStyle w:val="43"/>
            </w:pPr>
            <w:r>
              <w:rPr>
                <w:rFonts w:hint="eastAsia"/>
              </w:rPr>
              <w:t>不允许</w:t>
            </w:r>
          </w:p>
        </w:tc>
      </w:tr>
      <w:tr w14:paraId="1EDE5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3472B58">
            <w:pPr>
              <w:pStyle w:val="43"/>
              <w:jc w:val="center"/>
              <w:rPr>
                <w:rFonts w:hint="default" w:eastAsia="宋体"/>
                <w:lang w:val="en-US" w:eastAsia="zh-CN"/>
              </w:rPr>
            </w:pPr>
            <w:r>
              <w:rPr>
                <w:rFonts w:hint="eastAsia"/>
                <w:lang w:val="en-US" w:eastAsia="zh-CN"/>
              </w:rPr>
              <w:t>13</w:t>
            </w:r>
          </w:p>
        </w:tc>
        <w:tc>
          <w:tcPr>
            <w:tcW w:w="1721" w:type="dxa"/>
            <w:tcBorders>
              <w:top w:val="single" w:color="auto" w:sz="2" w:space="0"/>
              <w:left w:val="single" w:color="auto" w:sz="2" w:space="0"/>
              <w:bottom w:val="single" w:color="auto" w:sz="2" w:space="0"/>
              <w:right w:val="single" w:color="auto" w:sz="2" w:space="0"/>
            </w:tcBorders>
            <w:vAlign w:val="center"/>
          </w:tcPr>
          <w:p w14:paraId="0F08FAC1">
            <w:pPr>
              <w:pStyle w:val="43"/>
            </w:pPr>
            <w:r>
              <w:rPr>
                <w:rFonts w:hint="eastAsia"/>
              </w:rPr>
              <w:t>提出问题的截止时间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79EF19D7">
            <w:pPr>
              <w:pStyle w:val="43"/>
              <w:rPr>
                <w:rFonts w:hint="eastAsia" w:eastAsia="宋体"/>
                <w:lang w:eastAsia="zh-CN"/>
              </w:rPr>
            </w:pPr>
            <w:r>
              <w:rPr>
                <w:rFonts w:hint="eastAsia"/>
              </w:rPr>
              <w:t>2025年06月</w:t>
            </w:r>
            <w:r>
              <w:rPr>
                <w:rFonts w:hint="eastAsia"/>
                <w:lang w:val="en-US" w:eastAsia="zh-CN"/>
              </w:rPr>
              <w:t>27</w:t>
            </w:r>
            <w:r>
              <w:rPr>
                <w:rFonts w:hint="eastAsia"/>
              </w:rPr>
              <w:t>日11时00分</w:t>
            </w:r>
            <w:r>
              <w:rPr>
                <w:rFonts w:hint="eastAsia"/>
                <w:lang w:eastAsia="zh-CN"/>
              </w:rPr>
              <w:t>（</w:t>
            </w:r>
            <w:r>
              <w:rPr>
                <w:rFonts w:hint="eastAsia"/>
                <w:lang w:val="en-US" w:eastAsia="zh-CN"/>
              </w:rPr>
              <w:t>北京时间</w:t>
            </w:r>
            <w:r>
              <w:rPr>
                <w:rFonts w:hint="eastAsia"/>
                <w:lang w:eastAsia="zh-CN"/>
              </w:rPr>
              <w:t>）</w:t>
            </w:r>
          </w:p>
        </w:tc>
      </w:tr>
      <w:tr w14:paraId="65B22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9EC989">
            <w:pPr>
              <w:pStyle w:val="43"/>
              <w:jc w:val="center"/>
              <w:rPr>
                <w:rFonts w:hint="default" w:eastAsia="宋体"/>
                <w:lang w:val="en-US" w:eastAsia="zh-CN"/>
              </w:rPr>
            </w:pPr>
            <w:r>
              <w:rPr>
                <w:rFonts w:hint="eastAsia"/>
                <w:lang w:val="en-US" w:eastAsia="zh-CN"/>
              </w:rPr>
              <w:t>14</w:t>
            </w:r>
          </w:p>
        </w:tc>
        <w:tc>
          <w:tcPr>
            <w:tcW w:w="1721" w:type="dxa"/>
            <w:tcBorders>
              <w:top w:val="single" w:color="auto" w:sz="2" w:space="0"/>
              <w:left w:val="single" w:color="auto" w:sz="2" w:space="0"/>
              <w:bottom w:val="single" w:color="auto" w:sz="2" w:space="0"/>
              <w:right w:val="single" w:color="auto" w:sz="2" w:space="0"/>
            </w:tcBorders>
            <w:vAlign w:val="center"/>
          </w:tcPr>
          <w:p w14:paraId="4E579A44">
            <w:pPr>
              <w:pStyle w:val="43"/>
              <w:rPr>
                <w:color w:val="auto"/>
              </w:rPr>
            </w:pPr>
            <w:r>
              <w:rPr>
                <w:rFonts w:hint="eastAsia"/>
                <w:bCs/>
                <w:color w:val="auto"/>
              </w:rPr>
              <w:t>书面澄清的截止时间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74DB9AA5">
            <w:pPr>
              <w:pStyle w:val="43"/>
              <w:rPr>
                <w:color w:val="auto"/>
              </w:rPr>
            </w:pPr>
            <w:r>
              <w:rPr>
                <w:rFonts w:hint="eastAsia"/>
                <w:color w:val="auto"/>
              </w:rPr>
              <w:t>2025年06月</w:t>
            </w:r>
            <w:r>
              <w:rPr>
                <w:rFonts w:hint="eastAsia"/>
                <w:color w:val="auto"/>
                <w:lang w:val="en-US" w:eastAsia="zh-CN"/>
              </w:rPr>
              <w:t>27</w:t>
            </w:r>
            <w:r>
              <w:rPr>
                <w:rFonts w:hint="eastAsia"/>
                <w:color w:val="auto"/>
              </w:rPr>
              <w:t>日</w:t>
            </w:r>
            <w:r>
              <w:rPr>
                <w:rFonts w:hint="eastAsia"/>
                <w:color w:val="auto"/>
                <w:lang w:val="en-US" w:eastAsia="zh-CN"/>
              </w:rPr>
              <w:t>17</w:t>
            </w:r>
            <w:r>
              <w:rPr>
                <w:rFonts w:hint="eastAsia"/>
                <w:color w:val="auto"/>
              </w:rPr>
              <w:t>时00分</w:t>
            </w:r>
            <w:r>
              <w:rPr>
                <w:rFonts w:hint="eastAsia"/>
                <w:color w:val="auto"/>
                <w:lang w:eastAsia="zh-CN"/>
              </w:rPr>
              <w:t>（</w:t>
            </w:r>
            <w:r>
              <w:rPr>
                <w:rFonts w:hint="eastAsia"/>
                <w:color w:val="auto"/>
                <w:lang w:val="en-US" w:eastAsia="zh-CN"/>
              </w:rPr>
              <w:t>北京时间</w:t>
            </w:r>
            <w:r>
              <w:rPr>
                <w:rFonts w:hint="eastAsia"/>
                <w:color w:val="auto"/>
                <w:lang w:eastAsia="zh-CN"/>
              </w:rPr>
              <w:t>）</w:t>
            </w:r>
          </w:p>
        </w:tc>
      </w:tr>
      <w:tr w14:paraId="1FDEF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33E44E6">
            <w:pPr>
              <w:pStyle w:val="43"/>
              <w:jc w:val="center"/>
              <w:rPr>
                <w:rFonts w:hint="default" w:eastAsia="宋体"/>
                <w:lang w:val="en-US" w:eastAsia="zh-CN"/>
              </w:rPr>
            </w:pPr>
            <w:r>
              <w:rPr>
                <w:rFonts w:hint="eastAsia"/>
                <w:lang w:val="en-US" w:eastAsia="zh-CN"/>
              </w:rPr>
              <w:t>15</w:t>
            </w:r>
          </w:p>
        </w:tc>
        <w:tc>
          <w:tcPr>
            <w:tcW w:w="1721" w:type="dxa"/>
            <w:tcBorders>
              <w:top w:val="single" w:color="auto" w:sz="2" w:space="0"/>
              <w:left w:val="single" w:color="auto" w:sz="2" w:space="0"/>
              <w:bottom w:val="single" w:color="auto" w:sz="2" w:space="0"/>
              <w:right w:val="single" w:color="auto" w:sz="2" w:space="0"/>
            </w:tcBorders>
            <w:vAlign w:val="center"/>
          </w:tcPr>
          <w:p w14:paraId="0FDC4FCC">
            <w:pPr>
              <w:pStyle w:val="43"/>
              <w:rPr>
                <w:color w:val="auto"/>
              </w:rPr>
            </w:pPr>
            <w:r>
              <w:rPr>
                <w:rFonts w:hint="eastAsia"/>
                <w:color w:val="auto"/>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6564759E">
            <w:pPr>
              <w:pStyle w:val="43"/>
              <w:rPr>
                <w:rFonts w:hint="default"/>
                <w:color w:val="auto"/>
                <w:lang w:val="en-US"/>
              </w:rPr>
            </w:pPr>
            <w:r>
              <w:rPr>
                <w:rFonts w:hint="eastAsia"/>
                <w:color w:val="auto"/>
                <w:lang w:eastAsia="zh-CN"/>
              </w:rPr>
              <w:t>在</w:t>
            </w:r>
            <w:r>
              <w:rPr>
                <w:rFonts w:hint="eastAsia"/>
                <w:color w:val="auto"/>
              </w:rPr>
              <w:t>潜江市鲲展工程项目管理有限公司（潜江市园林街道办事处章华南路10号）</w:t>
            </w:r>
            <w:r>
              <w:rPr>
                <w:rFonts w:hint="eastAsia"/>
                <w:color w:val="auto"/>
                <w:lang w:val="en-US" w:eastAsia="zh-CN"/>
              </w:rPr>
              <w:t>现场提交纸质版</w:t>
            </w:r>
            <w:r>
              <w:rPr>
                <w:rFonts w:hint="eastAsia"/>
                <w:color w:val="auto"/>
              </w:rPr>
              <w:t>询问函</w:t>
            </w:r>
            <w:r>
              <w:rPr>
                <w:rFonts w:hint="eastAsia"/>
                <w:color w:val="auto"/>
                <w:lang w:val="en-US" w:eastAsia="zh-CN"/>
              </w:rPr>
              <w:t xml:space="preserve">并加盖鲜章。 </w:t>
            </w:r>
          </w:p>
        </w:tc>
      </w:tr>
      <w:tr w14:paraId="7BCE9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7BC8900">
            <w:pPr>
              <w:pStyle w:val="43"/>
              <w:jc w:val="center"/>
              <w:rPr>
                <w:rFonts w:hint="default" w:eastAsia="宋体"/>
                <w:lang w:val="en-US" w:eastAsia="zh-CN"/>
              </w:rPr>
            </w:pPr>
            <w:r>
              <w:rPr>
                <w:rFonts w:hint="eastAsia"/>
                <w:lang w:val="en-US" w:eastAsia="zh-CN"/>
              </w:rPr>
              <w:t>16</w:t>
            </w:r>
          </w:p>
        </w:tc>
        <w:tc>
          <w:tcPr>
            <w:tcW w:w="1721" w:type="dxa"/>
            <w:tcBorders>
              <w:top w:val="single" w:color="auto" w:sz="2" w:space="0"/>
              <w:left w:val="single" w:color="auto" w:sz="2" w:space="0"/>
              <w:bottom w:val="single" w:color="auto" w:sz="2" w:space="0"/>
              <w:right w:val="single" w:color="auto" w:sz="2" w:space="0"/>
            </w:tcBorders>
            <w:vAlign w:val="center"/>
          </w:tcPr>
          <w:p w14:paraId="3A1DF5AB">
            <w:pPr>
              <w:pStyle w:val="43"/>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0DD745F3">
            <w:pPr>
              <w:pStyle w:val="43"/>
            </w:pPr>
            <w:r>
              <w:rPr>
                <w:rFonts w:hint="eastAsia"/>
              </w:rPr>
              <w:t>详见第一章“竞争性磋商邀请”。</w:t>
            </w:r>
          </w:p>
        </w:tc>
      </w:tr>
      <w:tr w14:paraId="28D64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F28B063">
            <w:pPr>
              <w:pStyle w:val="43"/>
              <w:jc w:val="center"/>
              <w:rPr>
                <w:rFonts w:hint="default" w:eastAsia="宋体"/>
                <w:lang w:val="en-US" w:eastAsia="zh-CN"/>
              </w:rPr>
            </w:pPr>
            <w:r>
              <w:rPr>
                <w:rFonts w:hint="eastAsia"/>
                <w:lang w:val="en-US" w:eastAsia="zh-CN"/>
              </w:rPr>
              <w:t>17</w:t>
            </w:r>
          </w:p>
        </w:tc>
        <w:tc>
          <w:tcPr>
            <w:tcW w:w="1721" w:type="dxa"/>
            <w:tcBorders>
              <w:top w:val="single" w:color="auto" w:sz="2" w:space="0"/>
              <w:left w:val="single" w:color="auto" w:sz="2" w:space="0"/>
              <w:bottom w:val="single" w:color="auto" w:sz="2" w:space="0"/>
              <w:right w:val="single" w:color="auto" w:sz="2" w:space="0"/>
            </w:tcBorders>
            <w:vAlign w:val="center"/>
          </w:tcPr>
          <w:p w14:paraId="0EFAC97A">
            <w:pPr>
              <w:pStyle w:val="43"/>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3ACF1E3E">
            <w:pPr>
              <w:pStyle w:val="43"/>
            </w:pPr>
            <w:r>
              <w:rPr>
                <w:rFonts w:hint="eastAsia"/>
              </w:rPr>
              <w:t>响应文件递交截止日期后</w:t>
            </w:r>
            <w:r>
              <w:rPr>
                <w:rFonts w:hint="eastAsia"/>
                <w:u w:val="single"/>
              </w:rPr>
              <w:t>90</w:t>
            </w:r>
            <w:r>
              <w:rPr>
                <w:rFonts w:hint="eastAsia"/>
              </w:rPr>
              <w:t>日历日。</w:t>
            </w:r>
          </w:p>
        </w:tc>
      </w:tr>
      <w:tr w14:paraId="23F2C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8C5E330">
            <w:pPr>
              <w:pStyle w:val="43"/>
              <w:jc w:val="center"/>
              <w:rPr>
                <w:rFonts w:hint="default" w:eastAsia="宋体"/>
                <w:lang w:val="en-US" w:eastAsia="zh-CN"/>
              </w:rPr>
            </w:pPr>
            <w:r>
              <w:rPr>
                <w:rFonts w:hint="eastAsia"/>
                <w:lang w:val="en-US" w:eastAsia="zh-CN"/>
              </w:rPr>
              <w:t>18</w:t>
            </w:r>
          </w:p>
        </w:tc>
        <w:tc>
          <w:tcPr>
            <w:tcW w:w="1721" w:type="dxa"/>
            <w:tcBorders>
              <w:top w:val="single" w:color="auto" w:sz="2" w:space="0"/>
              <w:left w:val="single" w:color="auto" w:sz="2" w:space="0"/>
              <w:bottom w:val="single" w:color="auto" w:sz="2" w:space="0"/>
              <w:right w:val="single" w:color="auto" w:sz="2" w:space="0"/>
            </w:tcBorders>
            <w:vAlign w:val="center"/>
          </w:tcPr>
          <w:p w14:paraId="4BE2D0E4">
            <w:pPr>
              <w:pStyle w:val="43"/>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086CB40A">
            <w:pPr>
              <w:pStyle w:val="43"/>
            </w:pPr>
            <w:r>
              <w:rPr>
                <w:rFonts w:hint="eastAsia"/>
              </w:rPr>
              <w:t>详见第一章“竞争性磋商邀请”。</w:t>
            </w:r>
          </w:p>
        </w:tc>
      </w:tr>
      <w:tr w14:paraId="5D60F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570E70">
            <w:pPr>
              <w:pStyle w:val="43"/>
              <w:jc w:val="center"/>
              <w:rPr>
                <w:rFonts w:hint="default" w:eastAsia="宋体"/>
                <w:lang w:val="en-US" w:eastAsia="zh-CN"/>
              </w:rPr>
            </w:pPr>
            <w:r>
              <w:rPr>
                <w:rFonts w:hint="eastAsia"/>
                <w:lang w:val="en-US" w:eastAsia="zh-CN"/>
              </w:rPr>
              <w:t>19</w:t>
            </w:r>
          </w:p>
        </w:tc>
        <w:tc>
          <w:tcPr>
            <w:tcW w:w="1721" w:type="dxa"/>
            <w:tcBorders>
              <w:top w:val="single" w:color="auto" w:sz="2" w:space="0"/>
              <w:left w:val="single" w:color="auto" w:sz="2" w:space="0"/>
              <w:bottom w:val="single" w:color="auto" w:sz="2" w:space="0"/>
              <w:right w:val="single" w:color="auto" w:sz="2" w:space="0"/>
            </w:tcBorders>
            <w:vAlign w:val="center"/>
          </w:tcPr>
          <w:p w14:paraId="2DBC1CF8">
            <w:pPr>
              <w:pStyle w:val="43"/>
            </w:pPr>
            <w:r>
              <w:rPr>
                <w:rFonts w:hint="eastAsia"/>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51CBB30B">
            <w:pPr>
              <w:pStyle w:val="43"/>
            </w:pPr>
            <w:r>
              <w:rPr>
                <w:rFonts w:hint="eastAsia"/>
              </w:rPr>
              <w:t>详见第一章“竞争性磋商邀请”。</w:t>
            </w:r>
          </w:p>
        </w:tc>
      </w:tr>
      <w:tr w14:paraId="39289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192E15">
            <w:pPr>
              <w:pStyle w:val="43"/>
              <w:jc w:val="center"/>
              <w:rPr>
                <w:rFonts w:hint="default" w:eastAsia="宋体"/>
                <w:lang w:val="en-US" w:eastAsia="zh-CN"/>
              </w:rPr>
            </w:pPr>
            <w:r>
              <w:rPr>
                <w:rFonts w:hint="eastAsia"/>
                <w:lang w:val="en-US" w:eastAsia="zh-CN"/>
              </w:rPr>
              <w:t>20</w:t>
            </w:r>
          </w:p>
        </w:tc>
        <w:tc>
          <w:tcPr>
            <w:tcW w:w="1721" w:type="dxa"/>
            <w:tcBorders>
              <w:top w:val="single" w:color="auto" w:sz="2" w:space="0"/>
              <w:left w:val="single" w:color="auto" w:sz="2" w:space="0"/>
              <w:bottom w:val="single" w:color="auto" w:sz="2" w:space="0"/>
              <w:right w:val="single" w:color="auto" w:sz="2" w:space="0"/>
            </w:tcBorders>
            <w:vAlign w:val="center"/>
          </w:tcPr>
          <w:p w14:paraId="68CEBED1">
            <w:pPr>
              <w:pStyle w:val="43"/>
            </w:pPr>
            <w:r>
              <w:rPr>
                <w:rFonts w:hint="eastAsia"/>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12724DB0">
            <w:pPr>
              <w:pStyle w:val="43"/>
            </w:pPr>
            <w:r>
              <w:rPr>
                <w:rFonts w:hint="eastAsia"/>
              </w:rPr>
              <w:t>不提供</w:t>
            </w:r>
          </w:p>
        </w:tc>
      </w:tr>
      <w:tr w14:paraId="6163B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43B9421">
            <w:pPr>
              <w:pStyle w:val="43"/>
              <w:jc w:val="center"/>
              <w:rPr>
                <w:rFonts w:hint="default" w:eastAsia="宋体"/>
                <w:lang w:val="en-US" w:eastAsia="zh-CN"/>
              </w:rPr>
            </w:pPr>
            <w:r>
              <w:rPr>
                <w:rFonts w:hint="eastAsia"/>
                <w:lang w:val="en-US" w:eastAsia="zh-CN"/>
              </w:rPr>
              <w:t>21</w:t>
            </w:r>
          </w:p>
        </w:tc>
        <w:tc>
          <w:tcPr>
            <w:tcW w:w="1721" w:type="dxa"/>
            <w:tcBorders>
              <w:top w:val="single" w:color="auto" w:sz="2" w:space="0"/>
              <w:left w:val="single" w:color="auto" w:sz="2" w:space="0"/>
              <w:bottom w:val="single" w:color="auto" w:sz="2" w:space="0"/>
              <w:right w:val="single" w:color="auto" w:sz="2" w:space="0"/>
            </w:tcBorders>
            <w:vAlign w:val="center"/>
          </w:tcPr>
          <w:p w14:paraId="37CB0C68">
            <w:pPr>
              <w:pStyle w:val="43"/>
            </w:pPr>
            <w:r>
              <w:rPr>
                <w:rFonts w:hint="eastAsia"/>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07FC8A60">
            <w:pPr>
              <w:pStyle w:val="43"/>
            </w:pPr>
            <w:r>
              <w:rPr>
                <w:rFonts w:hint="eastAsia"/>
              </w:rPr>
              <w:t>不进行</w:t>
            </w:r>
          </w:p>
        </w:tc>
      </w:tr>
      <w:tr w14:paraId="52D3D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197A43D">
            <w:pPr>
              <w:pStyle w:val="43"/>
              <w:jc w:val="center"/>
              <w:rPr>
                <w:rFonts w:hint="default" w:eastAsia="宋体"/>
                <w:lang w:val="en-US" w:eastAsia="zh-CN"/>
              </w:rPr>
            </w:pPr>
            <w:r>
              <w:rPr>
                <w:rFonts w:hint="eastAsia"/>
                <w:lang w:val="en-US" w:eastAsia="zh-CN"/>
              </w:rPr>
              <w:t>22</w:t>
            </w:r>
          </w:p>
        </w:tc>
        <w:tc>
          <w:tcPr>
            <w:tcW w:w="1721" w:type="dxa"/>
            <w:tcBorders>
              <w:top w:val="single" w:color="auto" w:sz="2" w:space="0"/>
              <w:left w:val="single" w:color="auto" w:sz="2" w:space="0"/>
              <w:bottom w:val="single" w:color="auto" w:sz="2" w:space="0"/>
              <w:right w:val="single" w:color="auto" w:sz="2" w:space="0"/>
            </w:tcBorders>
            <w:vAlign w:val="center"/>
          </w:tcPr>
          <w:p w14:paraId="35D7B4F0">
            <w:pPr>
              <w:pStyle w:val="43"/>
            </w:pPr>
            <w:r>
              <w:rPr>
                <w:rFonts w:hint="eastAsia"/>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2F693C5A">
            <w:pPr>
              <w:pStyle w:val="43"/>
            </w:pPr>
            <w:r>
              <w:rPr>
                <w:rFonts w:hint="eastAsia"/>
              </w:rPr>
              <w:t>详见第一章“竞争性磋商邀请”。</w:t>
            </w:r>
          </w:p>
        </w:tc>
      </w:tr>
      <w:tr w14:paraId="581F3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9E77FD0">
            <w:pPr>
              <w:pStyle w:val="43"/>
              <w:jc w:val="center"/>
              <w:rPr>
                <w:rFonts w:hint="default" w:eastAsia="宋体"/>
                <w:lang w:val="en-US" w:eastAsia="zh-CN"/>
              </w:rPr>
            </w:pPr>
            <w:r>
              <w:rPr>
                <w:rFonts w:hint="eastAsia"/>
                <w:lang w:val="en-US" w:eastAsia="zh-CN"/>
              </w:rPr>
              <w:t>23</w:t>
            </w:r>
          </w:p>
        </w:tc>
        <w:tc>
          <w:tcPr>
            <w:tcW w:w="1721" w:type="dxa"/>
            <w:tcBorders>
              <w:top w:val="single" w:color="auto" w:sz="2" w:space="0"/>
              <w:left w:val="single" w:color="auto" w:sz="2" w:space="0"/>
              <w:bottom w:val="single" w:color="auto" w:sz="2" w:space="0"/>
              <w:right w:val="single" w:color="auto" w:sz="2" w:space="0"/>
            </w:tcBorders>
            <w:vAlign w:val="center"/>
          </w:tcPr>
          <w:p w14:paraId="04E3D22F">
            <w:pPr>
              <w:pStyle w:val="43"/>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4D01AB52">
            <w:pPr>
              <w:pStyle w:val="43"/>
            </w:pPr>
            <w:r>
              <w:rPr>
                <w:rFonts w:hint="eastAsia"/>
              </w:rPr>
              <w:t>采购人应当在收到评审报告后5个工作日内，从评审报告提出的成交候选人中，根据质量和服务均能满足采购文件实质性响应要求且综合评分最高的原则确定成交供应商。</w:t>
            </w:r>
          </w:p>
        </w:tc>
      </w:tr>
      <w:tr w14:paraId="2B50A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2EEE7E7">
            <w:pPr>
              <w:pStyle w:val="43"/>
              <w:jc w:val="center"/>
              <w:rPr>
                <w:rFonts w:hint="default" w:eastAsia="宋体"/>
                <w:lang w:val="en-US" w:eastAsia="zh-CN"/>
              </w:rPr>
            </w:pPr>
            <w:r>
              <w:rPr>
                <w:rFonts w:hint="eastAsia"/>
                <w:lang w:val="en-US" w:eastAsia="zh-CN"/>
              </w:rPr>
              <w:t>24</w:t>
            </w:r>
          </w:p>
        </w:tc>
        <w:tc>
          <w:tcPr>
            <w:tcW w:w="1721" w:type="dxa"/>
            <w:tcBorders>
              <w:top w:val="single" w:color="auto" w:sz="2" w:space="0"/>
              <w:left w:val="single" w:color="auto" w:sz="2" w:space="0"/>
              <w:bottom w:val="single" w:color="auto" w:sz="2" w:space="0"/>
              <w:right w:val="single" w:color="auto" w:sz="2" w:space="0"/>
            </w:tcBorders>
            <w:vAlign w:val="center"/>
          </w:tcPr>
          <w:p w14:paraId="7BFB4029">
            <w:pPr>
              <w:pStyle w:val="43"/>
              <w:rPr>
                <w:rFonts w:hint="eastAsia" w:eastAsia="宋体"/>
                <w:color w:val="auto"/>
                <w:lang w:eastAsia="zh-CN"/>
              </w:rPr>
            </w:pPr>
            <w:r>
              <w:rPr>
                <w:rFonts w:hint="eastAsia" w:cs="宋体"/>
                <w:strike w:val="0"/>
                <w:dstrike w:val="0"/>
                <w:color w:val="auto"/>
                <w:szCs w:val="24"/>
                <w:lang w:val="en-US" w:eastAsia="zh-CN"/>
              </w:rPr>
              <w:t>投标</w:t>
            </w:r>
            <w:r>
              <w:rPr>
                <w:rFonts w:hint="eastAsia" w:cs="宋体"/>
                <w:strike w:val="0"/>
                <w:dstrike w:val="0"/>
                <w:color w:val="auto"/>
                <w:szCs w:val="24"/>
              </w:rPr>
              <w:t>保证金</w:t>
            </w:r>
          </w:p>
        </w:tc>
        <w:tc>
          <w:tcPr>
            <w:tcW w:w="5844" w:type="dxa"/>
            <w:tcBorders>
              <w:top w:val="single" w:color="auto" w:sz="2" w:space="0"/>
              <w:left w:val="single" w:color="auto" w:sz="2" w:space="0"/>
              <w:bottom w:val="single" w:color="auto" w:sz="2" w:space="0"/>
              <w:right w:val="single" w:color="auto" w:sz="2" w:space="0"/>
            </w:tcBorders>
            <w:vAlign w:val="center"/>
          </w:tcPr>
          <w:p w14:paraId="77419CC2">
            <w:pPr>
              <w:pStyle w:val="43"/>
              <w:rPr>
                <w:rFonts w:hint="eastAsia"/>
                <w:color w:val="auto"/>
                <w:lang w:val="en-US" w:eastAsia="zh-CN"/>
              </w:rPr>
            </w:pPr>
            <w:r>
              <w:rPr>
                <w:rFonts w:hint="eastAsia"/>
                <w:color w:val="auto"/>
                <w:lang w:val="en-US" w:eastAsia="zh-CN"/>
              </w:rPr>
              <w:t>提供</w:t>
            </w:r>
          </w:p>
          <w:p w14:paraId="6128368D">
            <w:pPr>
              <w:pStyle w:val="43"/>
              <w:numPr>
                <w:ilvl w:val="0"/>
                <w:numId w:val="7"/>
              </w:numPr>
              <w:rPr>
                <w:rFonts w:hint="eastAsia"/>
                <w:color w:val="auto"/>
                <w:lang w:val="en-US" w:eastAsia="zh-CN"/>
              </w:rPr>
            </w:pPr>
            <w:r>
              <w:rPr>
                <w:rFonts w:hint="eastAsia"/>
                <w:color w:val="auto"/>
                <w:lang w:val="en-US" w:eastAsia="zh-CN"/>
              </w:rPr>
              <w:t>递交截止时间（到账时间）：报名截止时间之前</w:t>
            </w:r>
          </w:p>
          <w:p w14:paraId="5C773342">
            <w:pPr>
              <w:pStyle w:val="43"/>
              <w:numPr>
                <w:ilvl w:val="0"/>
                <w:numId w:val="7"/>
              </w:numPr>
              <w:rPr>
                <w:rFonts w:hint="eastAsia"/>
                <w:color w:val="auto"/>
                <w:lang w:val="en-US" w:eastAsia="zh-CN"/>
              </w:rPr>
            </w:pPr>
            <w:r>
              <w:rPr>
                <w:rFonts w:hint="eastAsia"/>
                <w:color w:val="auto"/>
                <w:lang w:val="en-US" w:eastAsia="zh-CN"/>
              </w:rPr>
              <w:t>金额：6000.00元</w:t>
            </w:r>
          </w:p>
          <w:p w14:paraId="6E6633C7">
            <w:pPr>
              <w:pStyle w:val="43"/>
              <w:numPr>
                <w:ilvl w:val="0"/>
                <w:numId w:val="7"/>
              </w:numPr>
              <w:rPr>
                <w:rFonts w:hint="eastAsia"/>
                <w:color w:val="auto"/>
                <w:lang w:val="en-US" w:eastAsia="zh-CN"/>
              </w:rPr>
            </w:pPr>
            <w:r>
              <w:rPr>
                <w:rFonts w:hint="eastAsia"/>
                <w:color w:val="auto"/>
                <w:lang w:val="en-US" w:eastAsia="zh-CN"/>
              </w:rPr>
              <w:t>递交方式及要求：采用现金方式</w:t>
            </w:r>
          </w:p>
          <w:p w14:paraId="60D53A51">
            <w:pPr>
              <w:pStyle w:val="43"/>
              <w:numPr>
                <w:ilvl w:val="0"/>
                <w:numId w:val="0"/>
              </w:numPr>
              <w:rPr>
                <w:rFonts w:hint="eastAsia"/>
                <w:color w:val="auto"/>
                <w:lang w:val="en-US" w:eastAsia="zh-CN"/>
              </w:rPr>
            </w:pPr>
            <w:r>
              <w:rPr>
                <w:rFonts w:hint="eastAsia"/>
                <w:color w:val="auto"/>
                <w:lang w:val="en-US" w:eastAsia="zh-CN"/>
              </w:rPr>
              <w:t>（1）必须从投标人的基本账户汇至招标人指定的账户及账号。</w:t>
            </w:r>
          </w:p>
          <w:p w14:paraId="128A5DDD">
            <w:pPr>
              <w:pStyle w:val="43"/>
              <w:numPr>
                <w:ilvl w:val="0"/>
                <w:numId w:val="0"/>
              </w:numPr>
              <w:rPr>
                <w:rFonts w:hint="eastAsia"/>
                <w:color w:val="auto"/>
                <w:lang w:val="en-US" w:eastAsia="zh-CN"/>
              </w:rPr>
            </w:pPr>
            <w:r>
              <w:rPr>
                <w:rFonts w:hint="eastAsia"/>
                <w:color w:val="auto"/>
                <w:lang w:val="en-US" w:eastAsia="zh-CN"/>
              </w:rPr>
              <w:t>保证金账号：1813080009200156394；</w:t>
            </w:r>
          </w:p>
          <w:p w14:paraId="48CF6CD4">
            <w:pPr>
              <w:pStyle w:val="43"/>
              <w:numPr>
                <w:ilvl w:val="0"/>
                <w:numId w:val="0"/>
              </w:numPr>
              <w:rPr>
                <w:rFonts w:hint="eastAsia"/>
                <w:color w:val="auto"/>
                <w:lang w:val="en-US" w:eastAsia="zh-CN"/>
              </w:rPr>
            </w:pPr>
            <w:r>
              <w:rPr>
                <w:rFonts w:hint="eastAsia"/>
                <w:color w:val="auto"/>
                <w:lang w:val="en-US" w:eastAsia="zh-CN"/>
              </w:rPr>
              <w:t>账户名称：潜江市鲲展工程项目管理有限公司；</w:t>
            </w:r>
          </w:p>
          <w:p w14:paraId="161F9010">
            <w:pPr>
              <w:pStyle w:val="43"/>
              <w:numPr>
                <w:ilvl w:val="0"/>
                <w:numId w:val="0"/>
              </w:numPr>
              <w:rPr>
                <w:rFonts w:hint="eastAsia"/>
                <w:color w:val="auto"/>
                <w:lang w:val="en-US" w:eastAsia="zh-CN"/>
              </w:rPr>
            </w:pPr>
            <w:r>
              <w:rPr>
                <w:rFonts w:hint="eastAsia"/>
                <w:color w:val="auto"/>
                <w:lang w:val="en-US" w:eastAsia="zh-CN"/>
              </w:rPr>
              <w:t>开户银行：中国工商银行股份有限公司潜江支行；</w:t>
            </w:r>
          </w:p>
          <w:p w14:paraId="030D42CD">
            <w:pPr>
              <w:pStyle w:val="43"/>
              <w:numPr>
                <w:ilvl w:val="0"/>
                <w:numId w:val="0"/>
              </w:numPr>
              <w:rPr>
                <w:rFonts w:hint="default"/>
                <w:color w:val="auto"/>
                <w:lang w:val="en-US" w:eastAsia="zh-CN"/>
              </w:rPr>
            </w:pPr>
            <w:r>
              <w:rPr>
                <w:rFonts w:hint="eastAsia"/>
                <w:color w:val="auto"/>
                <w:lang w:val="en-US" w:eastAsia="zh-CN"/>
              </w:rPr>
              <w:t>（2）基本账户信息将以投标人开户基本信息为准，若投标人汇款账户与开户基本信息不相符，由此造成投标保证金递交失败的责任由投标人自行承担。</w:t>
            </w:r>
          </w:p>
        </w:tc>
      </w:tr>
      <w:tr w14:paraId="77971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250791">
            <w:pPr>
              <w:pStyle w:val="43"/>
              <w:jc w:val="center"/>
              <w:rPr>
                <w:rFonts w:hint="default" w:eastAsia="宋体"/>
                <w:lang w:val="en-US" w:eastAsia="zh-CN"/>
              </w:rPr>
            </w:pPr>
            <w:r>
              <w:rPr>
                <w:rFonts w:hint="eastAsia"/>
                <w:lang w:val="en-US" w:eastAsia="zh-CN"/>
              </w:rPr>
              <w:t>25</w:t>
            </w:r>
          </w:p>
        </w:tc>
        <w:tc>
          <w:tcPr>
            <w:tcW w:w="1721" w:type="dxa"/>
            <w:tcBorders>
              <w:top w:val="single" w:color="auto" w:sz="2" w:space="0"/>
              <w:left w:val="single" w:color="auto" w:sz="2" w:space="0"/>
              <w:bottom w:val="single" w:color="auto" w:sz="2" w:space="0"/>
              <w:right w:val="single" w:color="auto" w:sz="2" w:space="0"/>
            </w:tcBorders>
            <w:vAlign w:val="center"/>
          </w:tcPr>
          <w:p w14:paraId="0CE81904">
            <w:pPr>
              <w:pStyle w:val="43"/>
              <w:rPr>
                <w:strike/>
                <w:dstrike w:val="0"/>
              </w:rPr>
            </w:pPr>
            <w:r>
              <w:rPr>
                <w:rFonts w:hint="eastAsia"/>
                <w:strike w:val="0"/>
                <w:dstrike w:val="0"/>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3CCB324E">
            <w:pPr>
              <w:pStyle w:val="43"/>
              <w:rPr>
                <w:strike/>
                <w:dstrike w:val="0"/>
                <w:color w:val="auto"/>
                <w:u w:val="single"/>
              </w:rPr>
            </w:pPr>
            <w:r>
              <w:rPr>
                <w:rFonts w:hint="eastAsia"/>
                <w:strike w:val="0"/>
                <w:dstrike w:val="0"/>
                <w:color w:val="auto"/>
                <w:u w:val="none"/>
              </w:rPr>
              <w:t>代理业务结束时，由</w:t>
            </w:r>
            <w:r>
              <w:rPr>
                <w:rFonts w:hint="eastAsia"/>
                <w:strike w:val="0"/>
                <w:dstrike w:val="0"/>
                <w:color w:val="auto"/>
                <w:u w:val="none"/>
                <w:lang w:eastAsia="zh-CN"/>
              </w:rPr>
              <w:t>成交供应商按鄂建文【2023】35号文规定的收费标准</w:t>
            </w:r>
            <w:r>
              <w:rPr>
                <w:rFonts w:hint="eastAsia"/>
                <w:strike w:val="0"/>
                <w:dstrike w:val="0"/>
                <w:color w:val="auto"/>
                <w:u w:val="none"/>
              </w:rPr>
              <w:t>计取一次性向</w:t>
            </w:r>
            <w:r>
              <w:rPr>
                <w:rFonts w:hint="eastAsia"/>
                <w:strike w:val="0"/>
                <w:dstrike w:val="0"/>
                <w:color w:val="auto"/>
                <w:u w:val="none"/>
                <w:lang w:val="en-US" w:eastAsia="zh-CN"/>
              </w:rPr>
              <w:t>采购代理</w:t>
            </w:r>
            <w:r>
              <w:rPr>
                <w:rFonts w:hint="eastAsia"/>
                <w:strike w:val="0"/>
                <w:dstrike w:val="0"/>
                <w:color w:val="auto"/>
                <w:u w:val="none"/>
              </w:rPr>
              <w:t>机构支付</w:t>
            </w:r>
            <w:r>
              <w:rPr>
                <w:rFonts w:hint="eastAsia"/>
                <w:strike w:val="0"/>
                <w:dstrike w:val="0"/>
                <w:color w:val="auto"/>
                <w:u w:val="none"/>
                <w:lang w:val="en-US" w:eastAsia="zh-CN"/>
              </w:rPr>
              <w:t>采购</w:t>
            </w:r>
            <w:r>
              <w:rPr>
                <w:rFonts w:hint="eastAsia"/>
                <w:strike w:val="0"/>
                <w:dstrike w:val="0"/>
                <w:color w:val="auto"/>
                <w:u w:val="none"/>
              </w:rPr>
              <w:t>代理服务费。</w:t>
            </w:r>
          </w:p>
        </w:tc>
      </w:tr>
      <w:tr w14:paraId="57B44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92623C7">
            <w:pPr>
              <w:pStyle w:val="43"/>
              <w:jc w:val="center"/>
              <w:rPr>
                <w:rFonts w:hint="default" w:eastAsia="宋体"/>
                <w:lang w:val="en-US" w:eastAsia="zh-CN"/>
              </w:rPr>
            </w:pPr>
            <w:r>
              <w:rPr>
                <w:rFonts w:hint="eastAsia"/>
                <w:lang w:val="en-US" w:eastAsia="zh-CN"/>
              </w:rPr>
              <w:t>26</w:t>
            </w:r>
          </w:p>
        </w:tc>
        <w:tc>
          <w:tcPr>
            <w:tcW w:w="1721" w:type="dxa"/>
            <w:tcBorders>
              <w:top w:val="single" w:color="auto" w:sz="2" w:space="0"/>
              <w:left w:val="single" w:color="auto" w:sz="2" w:space="0"/>
              <w:bottom w:val="single" w:color="auto" w:sz="2" w:space="0"/>
              <w:right w:val="single" w:color="auto" w:sz="2" w:space="0"/>
            </w:tcBorders>
            <w:vAlign w:val="center"/>
          </w:tcPr>
          <w:p w14:paraId="0189F332">
            <w:pPr>
              <w:pStyle w:val="43"/>
            </w:pPr>
            <w:r>
              <w:rPr>
                <w:rFonts w:hint="eastAsia" w:cs="仿宋_GB231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6BAF6B88">
            <w:pPr>
              <w:pStyle w:val="43"/>
            </w:pPr>
            <w:r>
              <w:rPr>
                <w:rFonts w:hint="eastAsia" w:cs="仿宋_GB2312"/>
              </w:rPr>
              <w:t>不接受</w:t>
            </w:r>
          </w:p>
        </w:tc>
      </w:tr>
      <w:tr w14:paraId="04BE6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21188DD">
            <w:pPr>
              <w:pStyle w:val="43"/>
              <w:jc w:val="center"/>
              <w:rPr>
                <w:rFonts w:hint="default" w:ascii="宋体" w:hAnsi="宋体" w:eastAsia="宋体"/>
                <w:lang w:val="en-US" w:eastAsia="zh-CN"/>
              </w:rPr>
            </w:pPr>
            <w:r>
              <w:rPr>
                <w:rFonts w:hint="eastAsia" w:ascii="宋体" w:hAnsi="宋体" w:eastAsia="宋体"/>
                <w:lang w:val="en-US" w:eastAsia="zh-CN"/>
              </w:rPr>
              <w:t>27</w:t>
            </w:r>
          </w:p>
        </w:tc>
        <w:tc>
          <w:tcPr>
            <w:tcW w:w="1721" w:type="dxa"/>
            <w:tcBorders>
              <w:top w:val="single" w:color="auto" w:sz="2" w:space="0"/>
              <w:left w:val="single" w:color="auto" w:sz="2" w:space="0"/>
              <w:bottom w:val="single" w:color="auto" w:sz="2" w:space="0"/>
              <w:right w:val="single" w:color="auto" w:sz="2" w:space="0"/>
            </w:tcBorders>
            <w:vAlign w:val="center"/>
          </w:tcPr>
          <w:p w14:paraId="0DC980F6">
            <w:pPr>
              <w:pStyle w:val="43"/>
            </w:pPr>
            <w:r>
              <w:rPr>
                <w:rFonts w:hint="eastAsia"/>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5BE9950E">
            <w:pPr>
              <w:pStyle w:val="43"/>
            </w:pPr>
            <w:r>
              <w:rPr>
                <w:rFonts w:hint="eastAsia"/>
              </w:rPr>
              <w:t>专门面向中小企业的项目</w:t>
            </w:r>
          </w:p>
          <w:p w14:paraId="79D57D97">
            <w:pPr>
              <w:pStyle w:val="43"/>
              <w:rPr>
                <w:rFonts w:hint="eastAsia"/>
                <w:strike/>
                <w:dstrike w:val="0"/>
              </w:rPr>
            </w:pPr>
            <w:r>
              <w:rPr>
                <w:rFonts w:hint="eastAsia"/>
              </w:rPr>
              <w:t>专门面向中小企业、预留部分采购份额面向中小企业采购的项目或采购包，评审时不再进行价格扣除。</w:t>
            </w:r>
          </w:p>
        </w:tc>
      </w:tr>
      <w:tr w14:paraId="4F876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673A082">
            <w:pPr>
              <w:pStyle w:val="43"/>
              <w:jc w:val="center"/>
              <w:rPr>
                <w:rFonts w:hint="default" w:ascii="宋体" w:hAnsi="宋体" w:eastAsia="宋体"/>
                <w:lang w:val="en-US" w:eastAsia="zh-CN"/>
              </w:rPr>
            </w:pPr>
            <w:r>
              <w:rPr>
                <w:rFonts w:hint="eastAsia" w:ascii="宋体" w:hAnsi="宋体" w:eastAsia="宋体"/>
                <w:lang w:val="en-US" w:eastAsia="zh-CN"/>
              </w:rPr>
              <w:t>28</w:t>
            </w:r>
          </w:p>
        </w:tc>
        <w:tc>
          <w:tcPr>
            <w:tcW w:w="1721" w:type="dxa"/>
            <w:tcBorders>
              <w:top w:val="single" w:color="auto" w:sz="2" w:space="0"/>
              <w:left w:val="single" w:color="auto" w:sz="2" w:space="0"/>
              <w:bottom w:val="single" w:color="auto" w:sz="2" w:space="0"/>
              <w:right w:val="single" w:color="auto" w:sz="2" w:space="0"/>
            </w:tcBorders>
            <w:vAlign w:val="center"/>
          </w:tcPr>
          <w:p w14:paraId="65A009B7">
            <w:pPr>
              <w:pStyle w:val="43"/>
            </w:pPr>
            <w:r>
              <w:rPr>
                <w:rFonts w:hint="eastAsia"/>
                <w:snapToGrid w:val="0"/>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14D0A33F">
            <w:pPr>
              <w:pStyle w:val="43"/>
              <w:rPr>
                <w:rFonts w:hint="eastAsia"/>
              </w:rPr>
            </w:pPr>
            <w:r>
              <w:rPr>
                <w:rFonts w:hint="eastAsia"/>
              </w:rPr>
              <w:t>对小微企业中的监狱企业、残疾人福利性单位、采购产品纳入创新产品应用示范推荐目录内企业、采购产品获得节能产品或环境标志产品认证证书的企业</w:t>
            </w:r>
            <w:r>
              <w:rPr>
                <w:rFonts w:hint="eastAsia" w:cs="宋体"/>
                <w:color w:val="auto"/>
                <w:szCs w:val="24"/>
                <w:lang w:val="zh-CN"/>
              </w:rPr>
              <w:t>的</w:t>
            </w:r>
            <w:r>
              <w:rPr>
                <w:rFonts w:hint="eastAsia" w:cs="宋体"/>
                <w:color w:val="auto"/>
                <w:szCs w:val="24"/>
                <w:lang w:val="en-US" w:eastAsia="zh-CN"/>
              </w:rPr>
              <w:t>报价给予</w:t>
            </w:r>
            <w:r>
              <w:rPr>
                <w:rFonts w:hint="eastAsia"/>
                <w:bCs/>
                <w:color w:val="auto"/>
                <w:szCs w:val="24"/>
                <w:u w:val="single"/>
                <w:lang w:val="zh-CN"/>
              </w:rPr>
              <w:t>20%</w:t>
            </w:r>
            <w:r>
              <w:rPr>
                <w:rFonts w:hint="eastAsia"/>
                <w:bCs/>
                <w:color w:val="auto"/>
                <w:szCs w:val="24"/>
                <w:lang w:val="zh-CN"/>
              </w:rPr>
              <w:t>的价格扣除。</w:t>
            </w:r>
          </w:p>
        </w:tc>
      </w:tr>
      <w:tr w14:paraId="34759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6335BD45">
            <w:pPr>
              <w:pStyle w:val="43"/>
              <w:jc w:val="center"/>
              <w:rPr>
                <w:rFonts w:hint="default" w:eastAsia="宋体"/>
                <w:strike w:val="0"/>
                <w:dstrike w:val="0"/>
                <w:lang w:val="en-US" w:eastAsia="zh-CN"/>
              </w:rPr>
            </w:pPr>
            <w:r>
              <w:rPr>
                <w:rFonts w:hint="eastAsia"/>
                <w:strike w:val="0"/>
                <w:dstrike w:val="0"/>
                <w:lang w:val="en-US" w:eastAsia="zh-CN"/>
              </w:rPr>
              <w:t>29</w:t>
            </w:r>
          </w:p>
        </w:tc>
        <w:tc>
          <w:tcPr>
            <w:tcW w:w="1721" w:type="dxa"/>
            <w:tcBorders>
              <w:top w:val="single" w:color="auto" w:sz="2" w:space="0"/>
              <w:left w:val="single" w:color="auto" w:sz="2" w:space="0"/>
              <w:bottom w:val="single" w:color="auto" w:sz="2" w:space="0"/>
              <w:right w:val="single" w:color="auto" w:sz="4" w:space="0"/>
            </w:tcBorders>
            <w:vAlign w:val="center"/>
          </w:tcPr>
          <w:p w14:paraId="45CE2620">
            <w:pPr>
              <w:pStyle w:val="43"/>
              <w:rPr>
                <w:strike w:val="0"/>
                <w:dstrike w:val="0"/>
              </w:rPr>
            </w:pPr>
            <w:r>
              <w:rPr>
                <w:rFonts w:hint="eastAsia"/>
                <w:strike w:val="0"/>
                <w:dstrike w:val="0"/>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705971EB">
            <w:pPr>
              <w:pStyle w:val="43"/>
              <w:rPr>
                <w:strike w:val="0"/>
                <w:dstrike w:val="0"/>
              </w:rPr>
            </w:pPr>
            <w:r>
              <w:rPr>
                <w:rFonts w:hint="eastAsia"/>
              </w:rPr>
              <w:t>投标供应商出席开标会时须单独手持法人代表授权书或法人身份证明、本人身份证原件，供开标时身份验证使用。未按要求参加或人证不符、身份证无法识别不能证明其身份的，其投标文件将被拒收或视为无效投标文件。。</w:t>
            </w:r>
          </w:p>
        </w:tc>
      </w:tr>
      <w:tr w14:paraId="353AB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6324A184">
            <w:pPr>
              <w:pStyle w:val="43"/>
            </w:pPr>
            <w:r>
              <w:rPr>
                <w:rFonts w:hint="eastAsia"/>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1E7503D7">
            <w:pPr>
              <w:pStyle w:val="43"/>
            </w:pPr>
            <w:r>
              <w:rPr>
                <w:rFonts w:hint="eastAsia"/>
              </w:rPr>
              <w:t>2. 本竞争性磋商文件所称的“以上”、“以下”、“内”、“以内”，包括本数；所称的“不足”，不包括本数。</w:t>
            </w:r>
          </w:p>
        </w:tc>
      </w:tr>
      <w:bookmarkEnd w:id="95"/>
    </w:tbl>
    <w:p w14:paraId="23D33979"/>
    <w:p w14:paraId="1289B423">
      <w:pPr>
        <w:pStyle w:val="32"/>
        <w:ind w:firstLine="480"/>
      </w:pPr>
    </w:p>
    <w:p w14:paraId="15FF407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8DD06DC">
      <w:pPr>
        <w:rPr>
          <w:b/>
          <w:bCs/>
        </w:rPr>
      </w:pPr>
      <w:r>
        <w:rPr>
          <w:rFonts w:hint="eastAsia"/>
          <w:b/>
          <w:bCs/>
        </w:rPr>
        <w:t>附件：</w:t>
      </w:r>
    </w:p>
    <w:p w14:paraId="2FB8D3C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center"/>
        <w:textAlignment w:val="auto"/>
        <w:rPr>
          <w:rFonts w:cs="宋体"/>
          <w:color w:val="000000"/>
          <w:sz w:val="21"/>
          <w:szCs w:val="21"/>
        </w:rPr>
      </w:pPr>
      <w:r>
        <w:rPr>
          <w:rFonts w:hint="eastAsia" w:cs="宋体"/>
          <w:b/>
          <w:bCs/>
          <w:color w:val="000000"/>
          <w:sz w:val="28"/>
          <w:szCs w:val="28"/>
        </w:rPr>
        <w:t>中小企业划型标准规定</w:t>
      </w:r>
    </w:p>
    <w:p w14:paraId="7FF77CB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一、根据《中华人民共和国中小企业促进法》和《国务院关于进一步促进中小企业发展的若干意见》(国发〔2009〕36号)，制定本规定。</w:t>
      </w:r>
    </w:p>
    <w:p w14:paraId="59A208E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二、中小企业划分为中型、小型、微型三种类型，具体标准根据企业从业人员、营业收入、资产总额等指标，结合行业特点制定。</w:t>
      </w:r>
    </w:p>
    <w:p w14:paraId="1EC01E9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24C0C4">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2"/>
        </w:rPr>
      </w:pPr>
      <w:bookmarkStart w:id="97" w:name="_Toc7420"/>
      <w:r>
        <w:rPr>
          <w:rFonts w:hint="eastAsia"/>
          <w:sz w:val="24"/>
          <w:szCs w:val="22"/>
        </w:rPr>
        <w:t>四、各行业划型标准为：</w:t>
      </w:r>
      <w:bookmarkEnd w:id="97"/>
    </w:p>
    <w:p w14:paraId="51A9B79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（一）农、林、牧、渔业。营业收入20000万元以下的为中小微型企业。其中，营业收入500万元及以上的为中型企业，营业收入50万元及以上的为小型企业，营业收入50万元以下的为微型企业。</w:t>
      </w:r>
    </w:p>
    <w:p w14:paraId="6F5465E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75EB8E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799CD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6C7B8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5924C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F296FB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B60FF9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41F9E9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35F6C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C37584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66CDA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737CF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6D7F96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EEAD1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9BA8F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（十六）其他未列明行业。从业人员300人以下的为中小微型企业。其中，从业人员100人及以上的为中型企业；从业人员10人及以上的为小型企业；从业人员10人以下的为微型企业。</w:t>
      </w:r>
    </w:p>
    <w:p w14:paraId="0ED68FB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2"/>
        </w:rPr>
      </w:pPr>
      <w:bookmarkStart w:id="98" w:name="_Toc12138"/>
      <w:r>
        <w:rPr>
          <w:rFonts w:hint="eastAsia"/>
          <w:sz w:val="24"/>
          <w:szCs w:val="22"/>
        </w:rPr>
        <w:t>五、企业类型的划分以统计部门的统计数据为依据。</w:t>
      </w:r>
      <w:bookmarkEnd w:id="98"/>
    </w:p>
    <w:p w14:paraId="11D99DB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六、本规定适用于在中华人民共和国境内依法设立的各类所有制和各种组织形式的企业。个体工商户和本规定以外的行业，参照本规定进行划型。</w:t>
      </w:r>
    </w:p>
    <w:p w14:paraId="654A13C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七、本规定的中型企业标准上限即为大型企业标准的下限，国家统计部门据此制定大中小微型企业的统计分类。国务院有关部门据此进行相关数据分析，不得制定与本规定不一致的企业划型标准。</w:t>
      </w:r>
    </w:p>
    <w:p w14:paraId="4D4FAC7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八、本规定由工业和信息化部、国家统计局会同有关部门根据《国民经济行业分类》修订情况和企业发展变化情况适时修订。</w:t>
      </w:r>
    </w:p>
    <w:p w14:paraId="4152AD5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2"/>
        </w:rPr>
      </w:pPr>
      <w:bookmarkStart w:id="99" w:name="_Toc30058"/>
      <w:r>
        <w:rPr>
          <w:rFonts w:hint="eastAsia"/>
          <w:sz w:val="24"/>
          <w:szCs w:val="22"/>
        </w:rPr>
        <w:t>九、本规定由工业和信息化部、国家统计局会同有关部门负责解释。</w:t>
      </w:r>
      <w:bookmarkEnd w:id="99"/>
    </w:p>
    <w:p w14:paraId="2615C71E">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2"/>
        </w:rPr>
        <w:t>十、本规定自发布之日起执行，原国家经贸委、原国家计委、财政部和国家统计局2003年颁布的《中小企业标准暂行规定》同时废止。</w:t>
      </w:r>
    </w:p>
    <w:p w14:paraId="54AA5012">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4CC86C4">
      <w:pPr>
        <w:pStyle w:val="3"/>
        <w:numPr>
          <w:ilvl w:val="0"/>
          <w:numId w:val="6"/>
        </w:numPr>
      </w:pPr>
      <w:bookmarkStart w:id="100" w:name="_Toc18275"/>
      <w:bookmarkStart w:id="101" w:name="_Toc163493610"/>
      <w:bookmarkStart w:id="102" w:name="_Toc14016"/>
      <w:bookmarkStart w:id="103" w:name="_Toc19685"/>
      <w:r>
        <w:rPr>
          <w:rFonts w:hint="eastAsia"/>
        </w:rPr>
        <w:t>供应商须知</w:t>
      </w:r>
      <w:bookmarkEnd w:id="100"/>
      <w:bookmarkEnd w:id="101"/>
      <w:bookmarkEnd w:id="102"/>
      <w:bookmarkEnd w:id="103"/>
    </w:p>
    <w:p w14:paraId="54960576">
      <w:pPr>
        <w:pStyle w:val="4"/>
        <w:numPr>
          <w:ilvl w:val="0"/>
          <w:numId w:val="8"/>
        </w:numPr>
      </w:pPr>
      <w:bookmarkStart w:id="104" w:name="_Toc163493611"/>
      <w:bookmarkStart w:id="105" w:name="_Toc109899951"/>
      <w:bookmarkStart w:id="106" w:name="_Toc109897433"/>
      <w:bookmarkStart w:id="107" w:name="_Toc11666"/>
      <w:bookmarkStart w:id="108" w:name="_Toc46771638"/>
      <w:bookmarkStart w:id="109" w:name="_Toc109900370"/>
      <w:bookmarkStart w:id="110" w:name="_Toc109899532"/>
      <w:bookmarkStart w:id="111" w:name="_Toc7858"/>
      <w:bookmarkStart w:id="112" w:name="_Toc470172694"/>
      <w:r>
        <w:rPr>
          <w:rFonts w:hint="eastAsia"/>
        </w:rPr>
        <w:t>总则</w:t>
      </w:r>
      <w:bookmarkEnd w:id="104"/>
      <w:bookmarkEnd w:id="105"/>
      <w:bookmarkEnd w:id="106"/>
      <w:bookmarkEnd w:id="107"/>
      <w:bookmarkEnd w:id="108"/>
      <w:bookmarkEnd w:id="109"/>
      <w:bookmarkEnd w:id="110"/>
      <w:bookmarkEnd w:id="111"/>
    </w:p>
    <w:p w14:paraId="39A47A9F">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113" w:name="_Toc52962726"/>
      <w:bookmarkStart w:id="114" w:name="_Toc46772240"/>
      <w:bookmarkStart w:id="115" w:name="_Toc109899533"/>
      <w:bookmarkStart w:id="116" w:name="_Toc470172664"/>
      <w:bookmarkStart w:id="117" w:name="_Toc48846108"/>
      <w:bookmarkStart w:id="118" w:name="_Toc52960552"/>
      <w:bookmarkStart w:id="119" w:name="_Toc27243"/>
      <w:bookmarkStart w:id="120" w:name="_Toc51674210"/>
      <w:bookmarkStart w:id="121" w:name="_Toc109899952"/>
      <w:bookmarkStart w:id="122" w:name="_Toc46771639"/>
      <w:bookmarkStart w:id="123" w:name="_Toc48688788"/>
      <w:bookmarkStart w:id="124" w:name="_Toc109900371"/>
      <w:bookmarkStart w:id="125" w:name="_Toc109897434"/>
      <w:r>
        <w:rPr>
          <w:rFonts w:hint="eastAsia"/>
        </w:rPr>
        <w:t>适用范围</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0E3CD2DA">
      <w:pPr>
        <w:pStyle w:val="32"/>
        <w:ind w:firstLine="480"/>
        <w:rPr>
          <w:snapToGrid w:val="0"/>
        </w:rPr>
      </w:pPr>
      <w:r>
        <w:rPr>
          <w:rFonts w:hint="eastAsia"/>
          <w:snapToGrid w:val="0"/>
        </w:rPr>
        <w:t>1.1本竞争性磋商文件</w:t>
      </w:r>
      <w:r>
        <w:rPr>
          <w:rFonts w:hint="eastAsia" w:cs="宋体"/>
          <w:snapToGrid w:val="0"/>
          <w:color w:val="auto"/>
        </w:rPr>
        <w:t>（也称磋商文件或采购文件）</w:t>
      </w:r>
      <w:r>
        <w:rPr>
          <w:rFonts w:hint="eastAsia"/>
          <w:snapToGrid w:val="0"/>
          <w:color w:val="auto"/>
        </w:rPr>
        <w:t>仅</w:t>
      </w:r>
      <w:r>
        <w:rPr>
          <w:rFonts w:hint="eastAsia"/>
          <w:snapToGrid w:val="0"/>
        </w:rPr>
        <w:t>适用于本次竞争性磋商中所述项目的采购活动。</w:t>
      </w:r>
    </w:p>
    <w:p w14:paraId="3C4FB659">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126" w:name="_Toc46771640"/>
      <w:bookmarkStart w:id="127" w:name="_Toc52962727"/>
      <w:bookmarkStart w:id="128" w:name="_Toc51674211"/>
      <w:bookmarkStart w:id="129" w:name="_Toc46772241"/>
      <w:bookmarkStart w:id="130" w:name="_Toc109900372"/>
      <w:bookmarkStart w:id="131" w:name="_Toc109899953"/>
      <w:bookmarkStart w:id="132" w:name="_Toc52960553"/>
      <w:bookmarkStart w:id="133" w:name="_Toc30547"/>
      <w:bookmarkStart w:id="134" w:name="_Toc48846109"/>
      <w:bookmarkStart w:id="135" w:name="_Toc109899534"/>
      <w:bookmarkStart w:id="136" w:name="_Toc109897435"/>
      <w:bookmarkStart w:id="137" w:name="_Toc48688789"/>
      <w:bookmarkStart w:id="138" w:name="_Toc470172665"/>
      <w:r>
        <w:rPr>
          <w:rFonts w:hint="eastAsia"/>
        </w:rPr>
        <w:t>定义</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1E2B4AAC">
      <w:pPr>
        <w:pStyle w:val="32"/>
        <w:ind w:firstLine="480"/>
      </w:pPr>
      <w:r>
        <w:rPr>
          <w:rFonts w:hint="eastAsia"/>
        </w:rPr>
        <w:t>2.1根据《中华人民共和国政府采购法》及其实施条例等有关法律、法规和规章的规定，制定本竞争性磋商文件。</w:t>
      </w:r>
    </w:p>
    <w:p w14:paraId="7ACA2D14">
      <w:pPr>
        <w:pStyle w:val="32"/>
        <w:ind w:firstLine="480"/>
        <w:rPr>
          <w:rFonts w:cs="宋体"/>
          <w:snapToGrid w:val="0"/>
        </w:rPr>
      </w:pPr>
      <w:r>
        <w:rPr>
          <w:rFonts w:cs="宋体"/>
          <w:snapToGrid w:val="0"/>
        </w:rPr>
        <w:t>2.2采购人：见“供应商须知前附表”。</w:t>
      </w:r>
    </w:p>
    <w:p w14:paraId="1B7241EA">
      <w:pPr>
        <w:pStyle w:val="32"/>
        <w:ind w:firstLine="480"/>
        <w:rPr>
          <w:rFonts w:cs="宋体"/>
          <w:snapToGrid w:val="0"/>
        </w:rPr>
      </w:pPr>
      <w:r>
        <w:rPr>
          <w:rFonts w:cs="宋体"/>
          <w:snapToGrid w:val="0"/>
        </w:rPr>
        <w:t>2.3采购代理机构：见“供应商须知前附表”。</w:t>
      </w:r>
    </w:p>
    <w:p w14:paraId="4967DF7A">
      <w:pPr>
        <w:pStyle w:val="32"/>
        <w:ind w:firstLine="480"/>
        <w:rPr>
          <w:rFonts w:cs="宋体"/>
          <w:snapToGrid w:val="0"/>
        </w:rPr>
      </w:pPr>
      <w:r>
        <w:rPr>
          <w:rFonts w:cs="宋体"/>
          <w:snapToGrid w:val="0"/>
        </w:rPr>
        <w:t>2.4政府采购监督管理部门：见“供应商须知前附表”。</w:t>
      </w:r>
    </w:p>
    <w:p w14:paraId="454D4764">
      <w:pPr>
        <w:pStyle w:val="32"/>
        <w:ind w:firstLine="480"/>
        <w:rPr>
          <w:rFonts w:cs="宋体"/>
          <w:snapToGrid w:val="0"/>
        </w:rPr>
      </w:pPr>
      <w:r>
        <w:rPr>
          <w:rFonts w:cs="宋体"/>
          <w:snapToGrid w:val="0"/>
        </w:rPr>
        <w:t>2.5项目名称：见“供应商须知前附表”。</w:t>
      </w:r>
    </w:p>
    <w:p w14:paraId="4A0BC71D">
      <w:pPr>
        <w:pStyle w:val="32"/>
        <w:ind w:firstLine="480"/>
        <w:rPr>
          <w:rFonts w:cs="宋体"/>
          <w:snapToGrid w:val="0"/>
        </w:rPr>
      </w:pPr>
      <w:r>
        <w:rPr>
          <w:rFonts w:cs="宋体"/>
          <w:snapToGrid w:val="0"/>
        </w:rPr>
        <w:t>2.6项目地点：见“供应商须知前附表”。</w:t>
      </w:r>
    </w:p>
    <w:p w14:paraId="5B642BDB">
      <w:pPr>
        <w:pStyle w:val="32"/>
        <w:ind w:firstLine="480"/>
        <w:rPr>
          <w:rFonts w:cs="宋体"/>
          <w:snapToGrid w:val="0"/>
        </w:rPr>
      </w:pPr>
      <w:r>
        <w:rPr>
          <w:rFonts w:cs="宋体"/>
          <w:snapToGrid w:val="0"/>
        </w:rPr>
        <w:t>2.7项目内容：见“供应商须知前附表”。</w:t>
      </w:r>
    </w:p>
    <w:p w14:paraId="63449EA8">
      <w:pPr>
        <w:pStyle w:val="32"/>
        <w:ind w:firstLine="480"/>
        <w:rPr>
          <w:rFonts w:cs="宋体"/>
          <w:snapToGrid w:val="0"/>
        </w:rPr>
      </w:pPr>
      <w:r>
        <w:rPr>
          <w:rFonts w:cs="宋体"/>
          <w:snapToGrid w:val="0"/>
        </w:rPr>
        <w:t>2.8项目属性：见“供应商须知前附表”。</w:t>
      </w:r>
    </w:p>
    <w:p w14:paraId="01CB0E31">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139" w:name="_Toc470172667"/>
      <w:bookmarkStart w:id="140" w:name="_Toc51674213"/>
      <w:bookmarkStart w:id="141" w:name="_Toc48688791"/>
      <w:bookmarkStart w:id="142" w:name="_Toc46771642"/>
      <w:bookmarkStart w:id="143" w:name="_Toc9974"/>
      <w:bookmarkStart w:id="144" w:name="_Toc48846111"/>
      <w:bookmarkStart w:id="145" w:name="_Toc109897437"/>
      <w:bookmarkStart w:id="146" w:name="_Toc109900374"/>
      <w:bookmarkStart w:id="147" w:name="_Toc109899955"/>
      <w:bookmarkStart w:id="148" w:name="_Toc52962729"/>
      <w:bookmarkStart w:id="149" w:name="_Toc46772243"/>
      <w:bookmarkStart w:id="150" w:name="_Toc109899536"/>
      <w:bookmarkStart w:id="151" w:name="_Toc52960555"/>
      <w:r>
        <w:t>资金来源</w:t>
      </w:r>
    </w:p>
    <w:p w14:paraId="78CBA3E9">
      <w:pPr>
        <w:pStyle w:val="32"/>
        <w:ind w:firstLine="480"/>
      </w:pPr>
      <w:r>
        <w:t>3.1资金来源：见“供应商须知前附表”。</w:t>
      </w:r>
    </w:p>
    <w:p w14:paraId="62CF173F">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rPr>
          <w:rFonts w:hint="eastAsia"/>
        </w:rPr>
        <w:t>供应商资格要求</w:t>
      </w:r>
    </w:p>
    <w:p w14:paraId="284231E8">
      <w:r>
        <w:t>4.1供应商资格要求：见“供应商须知前附表”；</w:t>
      </w:r>
    </w:p>
    <w:p w14:paraId="07A7B58A">
      <w:r>
        <w:t>4.2“供应商须知前附表”规定接受联合体</w:t>
      </w:r>
      <w:r>
        <w:rPr>
          <w:rFonts w:hint="eastAsia"/>
        </w:rPr>
        <w:t>磋商</w:t>
      </w:r>
      <w:r>
        <w:t xml:space="preserve">的，还应遵守以下规定： </w:t>
      </w:r>
    </w:p>
    <w:p w14:paraId="5E0069A7">
      <w:pPr>
        <w:pStyle w:val="32"/>
        <w:ind w:firstLine="480"/>
      </w:pPr>
      <w:r>
        <w:rPr>
          <w:rFonts w:hint="eastAsia"/>
        </w:rPr>
        <w:t>（</w:t>
      </w:r>
      <w:r>
        <w:t>1）联合体各方应按竞争性磋商文件提供的格式签订联合体协议书，明确联合体牵头人和各方权利义务；</w:t>
      </w:r>
    </w:p>
    <w:p w14:paraId="5C7F7060">
      <w:pPr>
        <w:pStyle w:val="32"/>
        <w:ind w:firstLine="480"/>
      </w:pPr>
      <w:r>
        <w:rPr>
          <w:rFonts w:hint="eastAsia"/>
        </w:rPr>
        <w:t>（</w:t>
      </w:r>
      <w:r>
        <w:t>2）由同一专业的单位组成的联合体，按照资质等级较低的单位确定资质等级；</w:t>
      </w:r>
    </w:p>
    <w:p w14:paraId="50E4DABF">
      <w:pPr>
        <w:pStyle w:val="32"/>
        <w:ind w:firstLine="480"/>
      </w:pPr>
      <w:r>
        <w:rPr>
          <w:rFonts w:hint="eastAsia"/>
        </w:rPr>
        <w:t>（</w:t>
      </w:r>
      <w:r>
        <w:t>3）联合体各方不得再以自己名义单独或参加其他联合体</w:t>
      </w:r>
      <w:r>
        <w:rPr>
          <w:rFonts w:hint="eastAsia"/>
        </w:rPr>
        <w:t>参与本项目</w:t>
      </w:r>
      <w:r>
        <w:t>。</w:t>
      </w:r>
    </w:p>
    <w:p w14:paraId="19A12E7B">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rPr>
          <w:rFonts w:hint="eastAsia"/>
        </w:rPr>
        <w:t>费用</w:t>
      </w:r>
      <w:bookmarkEnd w:id="139"/>
      <w:bookmarkEnd w:id="140"/>
      <w:bookmarkEnd w:id="141"/>
      <w:bookmarkEnd w:id="142"/>
      <w:bookmarkEnd w:id="143"/>
      <w:bookmarkEnd w:id="144"/>
      <w:bookmarkEnd w:id="145"/>
      <w:bookmarkEnd w:id="146"/>
      <w:bookmarkEnd w:id="147"/>
      <w:bookmarkEnd w:id="148"/>
      <w:bookmarkEnd w:id="149"/>
      <w:bookmarkEnd w:id="150"/>
      <w:bookmarkEnd w:id="151"/>
      <w:r>
        <w:rPr>
          <w:rFonts w:hint="eastAsia"/>
        </w:rPr>
        <w:t>承担</w:t>
      </w:r>
    </w:p>
    <w:p w14:paraId="0B99D8AB">
      <w:pPr>
        <w:pStyle w:val="32"/>
        <w:ind w:firstLine="480"/>
        <w:rPr>
          <w:snapToGrid w:val="0"/>
          <w:lang w:val="zh-CN"/>
        </w:rPr>
      </w:pPr>
      <w:r>
        <w:rPr>
          <w:snapToGrid w:val="0"/>
          <w:lang w:val="zh-CN"/>
        </w:rPr>
        <w:t>5</w:t>
      </w:r>
      <w:r>
        <w:rPr>
          <w:rFonts w:hint="eastAsia"/>
          <w:snapToGrid w:val="0"/>
          <w:lang w:val="zh-CN"/>
        </w:rPr>
        <w:t>.1供应商应承担所有与准备和参加磋商有关的费用，不论磋商的结果如何，采购人和采购代理机构均无义务和责任承担这些费用。</w:t>
      </w:r>
    </w:p>
    <w:p w14:paraId="550FFFD2">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152" w:name="_Toc161600293"/>
      <w:bookmarkStart w:id="153" w:name="_Toc140132761"/>
      <w:r>
        <w:rPr>
          <w:rFonts w:hint="eastAsia"/>
        </w:rPr>
        <w:t>保密</w:t>
      </w:r>
      <w:bookmarkEnd w:id="152"/>
      <w:bookmarkEnd w:id="153"/>
    </w:p>
    <w:p w14:paraId="293A832B">
      <w:pPr>
        <w:pStyle w:val="32"/>
        <w:ind w:firstLine="480"/>
      </w:pPr>
      <w:r>
        <w:rPr>
          <w:rFonts w:hint="eastAsia"/>
        </w:rPr>
        <w:t xml:space="preserve">6.1参与磋商活动的各方应对竞争磋商文件和响应文件中的商业和技术等秘密保密，否则应承担相应的法律责任。 </w:t>
      </w:r>
    </w:p>
    <w:p w14:paraId="29A07773">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154" w:name="_Toc161600294"/>
      <w:bookmarkStart w:id="155" w:name="_Toc140132762"/>
      <w:r>
        <w:rPr>
          <w:rFonts w:hint="eastAsia"/>
        </w:rPr>
        <w:t>语言文字</w:t>
      </w:r>
      <w:bookmarkEnd w:id="154"/>
      <w:bookmarkEnd w:id="155"/>
    </w:p>
    <w:p w14:paraId="2FA7C395">
      <w:pPr>
        <w:pStyle w:val="32"/>
        <w:ind w:firstLine="480"/>
      </w:pPr>
      <w:r>
        <w:rPr>
          <w:rFonts w:hint="eastAsia"/>
        </w:rPr>
        <w:t>7.1响应文件使用的语言文字应为中文。专用术语使用外文的，应附有中文注释。</w:t>
      </w:r>
    </w:p>
    <w:p w14:paraId="2BEBB986">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156" w:name="_Toc140132763"/>
      <w:bookmarkStart w:id="157" w:name="_Toc161600295"/>
      <w:r>
        <w:rPr>
          <w:rFonts w:hint="eastAsia"/>
        </w:rPr>
        <w:t>计量单位</w:t>
      </w:r>
      <w:bookmarkEnd w:id="156"/>
      <w:bookmarkEnd w:id="157"/>
    </w:p>
    <w:p w14:paraId="6782385A">
      <w:pPr>
        <w:pStyle w:val="32"/>
        <w:ind w:firstLine="480"/>
      </w:pPr>
      <w:r>
        <w:rPr>
          <w:rFonts w:hint="eastAsia"/>
        </w:rPr>
        <w:t>8.1所有计量均采用中华人民共和国法定计量单位。</w:t>
      </w:r>
    </w:p>
    <w:p w14:paraId="6BBE1EB8">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158" w:name="_Toc140132764"/>
      <w:bookmarkStart w:id="159" w:name="_Toc161600296"/>
      <w:r>
        <w:rPr>
          <w:rFonts w:hint="eastAsia"/>
        </w:rPr>
        <w:t>现场考察和答疑会</w:t>
      </w:r>
      <w:bookmarkEnd w:id="158"/>
      <w:bookmarkEnd w:id="159"/>
    </w:p>
    <w:p w14:paraId="1A4570BC">
      <w:pPr>
        <w:pStyle w:val="32"/>
        <w:ind w:firstLine="480"/>
      </w:pPr>
      <w:bookmarkStart w:id="160" w:name="_Hlk143529198"/>
      <w:r>
        <w:rPr>
          <w:rFonts w:hint="eastAsia"/>
        </w:rPr>
        <w:t xml:space="preserve">9.1 “供应商须知前附表”规定组织现场考察的，采购代理机构按“供应商须知前附表”规定的时间、地点组织供应商项目现场考察。 </w:t>
      </w:r>
    </w:p>
    <w:p w14:paraId="7380024A">
      <w:pPr>
        <w:pStyle w:val="32"/>
        <w:ind w:firstLine="480"/>
      </w:pPr>
      <w:r>
        <w:rPr>
          <w:rFonts w:hint="eastAsia"/>
        </w:rPr>
        <w:t>9.2 供应商现场考察发生的费用自理。</w:t>
      </w:r>
    </w:p>
    <w:p w14:paraId="0769353E">
      <w:pPr>
        <w:pStyle w:val="32"/>
        <w:ind w:firstLine="480"/>
      </w:pPr>
      <w:r>
        <w:rPr>
          <w:rFonts w:hint="eastAsia"/>
        </w:rPr>
        <w:t>9.3 在现场考察中，因供应商自身原因发生的人员伤亡和财产损失，由供应商自行负责。</w:t>
      </w:r>
    </w:p>
    <w:p w14:paraId="3820A97C">
      <w:pPr>
        <w:pStyle w:val="32"/>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43F0B3FA">
      <w:pPr>
        <w:pStyle w:val="32"/>
        <w:ind w:firstLine="480"/>
      </w:pPr>
      <w:r>
        <w:rPr>
          <w:rFonts w:hint="eastAsia"/>
        </w:rPr>
        <w:t>9.5 “供应商须知前附表”规定召开答疑会的，采购代理机构按“供应商须知前附表”规定的时间和地点召开答疑会，澄清供应商提出的问题。</w:t>
      </w:r>
    </w:p>
    <w:bookmarkEnd w:id="160"/>
    <w:p w14:paraId="5298D929">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161" w:name="_Toc161600297"/>
      <w:bookmarkStart w:id="162" w:name="_Toc140132765"/>
      <w:r>
        <w:rPr>
          <w:rFonts w:hint="eastAsia"/>
        </w:rPr>
        <w:t>合同分包</w:t>
      </w:r>
      <w:bookmarkEnd w:id="161"/>
      <w:bookmarkEnd w:id="162"/>
    </w:p>
    <w:p w14:paraId="1F0B78F4">
      <w:pPr>
        <w:pStyle w:val="32"/>
        <w:ind w:firstLine="480"/>
      </w:pPr>
      <w:r>
        <w:rPr>
          <w:rFonts w:hint="eastAsia"/>
        </w:rPr>
        <w:t>10.1“供应商须知前附表”规定允许分包的，供应商应当遵守其分包规定。</w:t>
      </w:r>
    </w:p>
    <w:p w14:paraId="3B874ECA">
      <w:pPr>
        <w:pStyle w:val="32"/>
        <w:ind w:firstLine="480"/>
        <w:rPr>
          <w:rFonts w:hint="eastAsia"/>
        </w:rPr>
      </w:pPr>
      <w:r>
        <w:rPr>
          <w:rFonts w:hint="eastAsia"/>
        </w:rPr>
        <w:t>10.2 供应商未遵守竞争性磋商文件分包规定的，其</w:t>
      </w:r>
      <w:r>
        <w:rPr>
          <w:rFonts w:hint="eastAsia"/>
          <w:b/>
          <w:bCs/>
        </w:rPr>
        <w:t>响应无效</w:t>
      </w:r>
      <w:r>
        <w:rPr>
          <w:rFonts w:hint="eastAsia"/>
        </w:rPr>
        <w:t>。分包规定见“供应商须知前附表”。</w:t>
      </w:r>
    </w:p>
    <w:p w14:paraId="699BE184">
      <w:pPr>
        <w:pStyle w:val="32"/>
        <w:ind w:firstLine="480"/>
        <w:rPr>
          <w:rFonts w:hint="eastAsia"/>
        </w:rPr>
      </w:pPr>
    </w:p>
    <w:p w14:paraId="0A47BEBD">
      <w:pPr>
        <w:pStyle w:val="4"/>
        <w:numPr>
          <w:ilvl w:val="0"/>
          <w:numId w:val="8"/>
        </w:numPr>
      </w:pPr>
      <w:bookmarkStart w:id="163" w:name="_Toc470172668"/>
      <w:bookmarkStart w:id="164" w:name="_Toc10783"/>
      <w:bookmarkStart w:id="165" w:name="_Toc163493612"/>
      <w:bookmarkStart w:id="166" w:name="_Toc46771643"/>
      <w:bookmarkStart w:id="167" w:name="_Toc30194"/>
      <w:bookmarkStart w:id="168" w:name="_Toc109899956"/>
      <w:bookmarkStart w:id="169" w:name="_Toc109900375"/>
      <w:bookmarkStart w:id="170" w:name="_Toc109897438"/>
      <w:bookmarkStart w:id="171" w:name="_Toc109899537"/>
      <w:r>
        <w:rPr>
          <w:rFonts w:hint="eastAsia"/>
        </w:rPr>
        <w:t>磋商文件</w:t>
      </w:r>
      <w:bookmarkEnd w:id="163"/>
      <w:bookmarkEnd w:id="164"/>
      <w:bookmarkEnd w:id="165"/>
      <w:bookmarkEnd w:id="166"/>
      <w:bookmarkEnd w:id="167"/>
      <w:bookmarkEnd w:id="168"/>
      <w:bookmarkEnd w:id="169"/>
      <w:bookmarkEnd w:id="170"/>
      <w:bookmarkEnd w:id="171"/>
    </w:p>
    <w:p w14:paraId="60D50440">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172" w:name="_Toc52962731"/>
      <w:bookmarkStart w:id="173" w:name="_Toc46772245"/>
      <w:bookmarkStart w:id="174" w:name="_Toc46771644"/>
      <w:bookmarkStart w:id="175" w:name="_Toc48846113"/>
      <w:bookmarkStart w:id="176" w:name="_Toc109900376"/>
      <w:bookmarkStart w:id="177" w:name="_Toc48688793"/>
      <w:bookmarkStart w:id="178" w:name="_Toc109899957"/>
      <w:bookmarkStart w:id="179" w:name="_Toc109897439"/>
      <w:bookmarkStart w:id="180" w:name="_Toc4547"/>
      <w:bookmarkStart w:id="181" w:name="_Toc51674215"/>
      <w:bookmarkStart w:id="182" w:name="_Toc470172669"/>
      <w:bookmarkStart w:id="183" w:name="_Toc52960557"/>
      <w:bookmarkStart w:id="184" w:name="_Toc109899538"/>
      <w:r>
        <w:rPr>
          <w:rFonts w:hint="eastAsia"/>
        </w:rPr>
        <w:t>磋商文件的构成</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183DF7CE">
      <w:pPr>
        <w:ind w:firstLine="480" w:firstLineChars="200"/>
        <w:rPr>
          <w:rFonts w:cs="仿宋_GB2312"/>
          <w:szCs w:val="24"/>
        </w:rPr>
      </w:pPr>
      <w:bookmarkStart w:id="185" w:name="_Toc46772246"/>
      <w:bookmarkStart w:id="186" w:name="_Toc46771645"/>
      <w:bookmarkStart w:id="187" w:name="_Toc109900377"/>
      <w:bookmarkStart w:id="188" w:name="_Toc478415174"/>
      <w:bookmarkStart w:id="189" w:name="_Toc48846114"/>
      <w:bookmarkStart w:id="190" w:name="_Toc109897440"/>
      <w:bookmarkStart w:id="191" w:name="_Toc109899539"/>
      <w:bookmarkStart w:id="192" w:name="_Toc52960558"/>
      <w:bookmarkStart w:id="193" w:name="_Toc51674216"/>
      <w:bookmarkStart w:id="194" w:name="_Toc48688794"/>
      <w:bookmarkStart w:id="195" w:name="_Toc109899958"/>
      <w:bookmarkStart w:id="196" w:name="_Toc52962732"/>
      <w:r>
        <w:rPr>
          <w:rFonts w:hint="eastAsia" w:cs="仿宋_GB2312"/>
          <w:szCs w:val="24"/>
        </w:rPr>
        <w:t>第一章 竞争性磋商邀请</w:t>
      </w:r>
    </w:p>
    <w:p w14:paraId="17066494">
      <w:pPr>
        <w:ind w:firstLine="480" w:firstLineChars="200"/>
        <w:rPr>
          <w:rFonts w:cs="仿宋_GB2312"/>
          <w:szCs w:val="24"/>
        </w:rPr>
      </w:pPr>
      <w:r>
        <w:rPr>
          <w:rFonts w:hint="eastAsia" w:cs="仿宋_GB2312"/>
          <w:szCs w:val="24"/>
        </w:rPr>
        <w:t>第二章 供应商须知</w:t>
      </w:r>
    </w:p>
    <w:p w14:paraId="6001BC03">
      <w:pPr>
        <w:ind w:firstLine="480" w:firstLineChars="200"/>
        <w:rPr>
          <w:rFonts w:cs="仿宋_GB2312"/>
          <w:szCs w:val="24"/>
        </w:rPr>
      </w:pPr>
      <w:r>
        <w:rPr>
          <w:rFonts w:hint="eastAsia" w:cs="仿宋_GB2312"/>
          <w:szCs w:val="24"/>
        </w:rPr>
        <w:t>第三章 采购需求</w:t>
      </w:r>
    </w:p>
    <w:p w14:paraId="61E23BEC">
      <w:pPr>
        <w:ind w:firstLine="480" w:firstLineChars="200"/>
        <w:rPr>
          <w:rFonts w:cs="仿宋_GB2312"/>
          <w:szCs w:val="24"/>
        </w:rPr>
      </w:pPr>
      <w:r>
        <w:rPr>
          <w:rFonts w:hint="eastAsia" w:cs="仿宋_GB2312"/>
          <w:szCs w:val="24"/>
        </w:rPr>
        <w:t>第四章 评审办法及标准</w:t>
      </w:r>
    </w:p>
    <w:p w14:paraId="7B8A8FB0">
      <w:pPr>
        <w:ind w:firstLine="480" w:firstLineChars="200"/>
        <w:rPr>
          <w:rFonts w:cs="仿宋_GB2312"/>
          <w:szCs w:val="24"/>
        </w:rPr>
      </w:pPr>
      <w:r>
        <w:rPr>
          <w:rFonts w:hint="eastAsia" w:cs="仿宋_GB2312"/>
          <w:szCs w:val="24"/>
        </w:rPr>
        <w:t>第五章 合同草案</w:t>
      </w:r>
    </w:p>
    <w:p w14:paraId="2351AEA8">
      <w:pPr>
        <w:ind w:firstLine="480" w:firstLineChars="200"/>
        <w:rPr>
          <w:rFonts w:cs="仿宋_GB2312"/>
          <w:szCs w:val="24"/>
        </w:rPr>
      </w:pPr>
      <w:r>
        <w:rPr>
          <w:rFonts w:hint="eastAsia" w:cs="仿宋_GB2312"/>
          <w:szCs w:val="24"/>
        </w:rPr>
        <w:t>第六章 响应文件的格式</w:t>
      </w:r>
    </w:p>
    <w:p w14:paraId="47DAE52F">
      <w:pPr>
        <w:ind w:firstLine="480" w:firstLineChars="200"/>
        <w:rPr>
          <w:rFonts w:cs="仿宋_GB2312"/>
          <w:szCs w:val="24"/>
        </w:rPr>
      </w:pPr>
    </w:p>
    <w:p w14:paraId="203250FE">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rPr>
          <w:rFonts w:hint="eastAsia"/>
        </w:rPr>
        <w:t>磋商文件的澄清或修改</w:t>
      </w:r>
      <w:bookmarkEnd w:id="185"/>
      <w:bookmarkEnd w:id="186"/>
      <w:bookmarkEnd w:id="187"/>
      <w:bookmarkEnd w:id="188"/>
      <w:bookmarkEnd w:id="189"/>
      <w:bookmarkEnd w:id="190"/>
      <w:bookmarkEnd w:id="191"/>
      <w:bookmarkEnd w:id="192"/>
      <w:bookmarkEnd w:id="193"/>
      <w:bookmarkEnd w:id="194"/>
      <w:bookmarkEnd w:id="195"/>
      <w:bookmarkEnd w:id="196"/>
    </w:p>
    <w:p w14:paraId="539A0A08">
      <w:pPr>
        <w:ind w:firstLine="480" w:firstLineChars="200"/>
        <w:rPr>
          <w:rFonts w:cs="仿宋_GB2312"/>
          <w:szCs w:val="24"/>
        </w:rPr>
      </w:pPr>
      <w:r>
        <w:rPr>
          <w:rFonts w:hint="eastAsia" w:cs="仿宋_GB2312"/>
          <w:szCs w:val="24"/>
        </w:rPr>
        <w:t>1</w:t>
      </w:r>
      <w:r>
        <w:rPr>
          <w:rFonts w:hint="eastAsia" w:cs="仿宋_GB2312"/>
          <w:szCs w:val="24"/>
          <w:lang w:val="en-US" w:eastAsia="zh-CN"/>
        </w:rPr>
        <w:t>2</w:t>
      </w:r>
      <w:r>
        <w:rPr>
          <w:rFonts w:hint="eastAsia" w:cs="仿宋_GB2312"/>
          <w:szCs w:val="24"/>
        </w:rPr>
        <w:t xml:space="preserve">.1 </w:t>
      </w:r>
      <w:bookmarkStart w:id="197" w:name="_Hlk161703573"/>
      <w:r>
        <w:rPr>
          <w:rFonts w:hint="eastAsia" w:cs="仿宋_GB2312"/>
          <w:szCs w:val="24"/>
        </w:rPr>
        <w:t>供应商对采购项目有疑问的，可以按照“供应商须知前附表”中的规定提出询问。采购人或采购代理机构将在收到询问后依法予以答复。</w:t>
      </w:r>
      <w:bookmarkEnd w:id="197"/>
      <w:r>
        <w:rPr>
          <w:rFonts w:hint="eastAsia" w:cs="仿宋_GB2312"/>
          <w:szCs w:val="24"/>
        </w:rPr>
        <w:t>对竞争性磋商文件询问的答复，在必要时将以澄清形式推送给每个获取竞争性磋商文件的潜在供应商(答复中不包括问题的来源)。</w:t>
      </w:r>
    </w:p>
    <w:p w14:paraId="1A846D72">
      <w:pPr>
        <w:ind w:firstLine="480" w:firstLineChars="200"/>
        <w:rPr>
          <w:rFonts w:cs="仿宋_GB2312"/>
          <w:szCs w:val="24"/>
        </w:rPr>
      </w:pPr>
      <w:r>
        <w:rPr>
          <w:rFonts w:hint="eastAsia" w:cs="仿宋_GB2312"/>
          <w:szCs w:val="24"/>
        </w:rPr>
        <w:t>1</w:t>
      </w:r>
      <w:r>
        <w:rPr>
          <w:rFonts w:hint="eastAsia" w:cs="仿宋_GB2312"/>
          <w:szCs w:val="24"/>
          <w:lang w:val="en-US" w:eastAsia="zh-CN"/>
        </w:rPr>
        <w:t>2</w:t>
      </w:r>
      <w:r>
        <w:rPr>
          <w:rFonts w:hint="eastAsia" w:cs="仿宋_GB2312"/>
          <w:szCs w:val="24"/>
        </w:rPr>
        <w:t>.2 采购人或者采购代理机构可以对已发出的竞争性磋商文件进行必要的澄清或者修改。</w:t>
      </w:r>
      <w:r>
        <w:rPr>
          <w:rFonts w:hint="eastAsia"/>
        </w:rPr>
        <w:t>澄清或修改的内容为竞争性磋商文件的组成部分，并对所有获取竞争性磋商文件的潜在供应商具有约束力。</w:t>
      </w:r>
    </w:p>
    <w:p w14:paraId="73014998">
      <w:pPr>
        <w:ind w:firstLine="480" w:firstLineChars="200"/>
        <w:rPr>
          <w:rFonts w:cs="仿宋_GB2312"/>
          <w:szCs w:val="24"/>
        </w:rPr>
      </w:pPr>
      <w:r>
        <w:rPr>
          <w:rFonts w:hint="eastAsia" w:cs="仿宋_GB2312"/>
          <w:szCs w:val="24"/>
        </w:rPr>
        <w:t>1</w:t>
      </w:r>
      <w:r>
        <w:rPr>
          <w:rFonts w:hint="eastAsia" w:cs="仿宋_GB2312"/>
          <w:szCs w:val="24"/>
          <w:lang w:val="en-US" w:eastAsia="zh-CN"/>
        </w:rPr>
        <w:t>2</w:t>
      </w:r>
      <w:r>
        <w:rPr>
          <w:rFonts w:hint="eastAsia" w:cs="仿宋_GB2312"/>
          <w:szCs w:val="24"/>
        </w:rPr>
        <w:t>.3 竞争性磋商文件的澄清或者修改以书面形式发给所有领取竞争性磋商文件的供应商。</w:t>
      </w:r>
      <w:r>
        <w:rPr>
          <w:rFonts w:hint="eastAsia"/>
          <w:snapToGrid w:val="0"/>
          <w:lang w:val="zh-CN"/>
        </w:rPr>
        <w:t>对磋商文件澄清或者修改的内容可能影响响应文件编制的，采购人、采购代理机构或者磋商小组应当在提交首次响应文件截止之日5日前，以书面形式通知所有接收磋商文件的供应商，不足5日的，应当顺延提交首次响应文件截止时间</w:t>
      </w:r>
      <w:r>
        <w:rPr>
          <w:rFonts w:hint="eastAsia" w:cs="仿宋_GB2312"/>
          <w:szCs w:val="24"/>
        </w:rPr>
        <w:t>。</w:t>
      </w:r>
    </w:p>
    <w:p w14:paraId="0DB80EE3">
      <w:pPr>
        <w:pStyle w:val="32"/>
        <w:ind w:firstLine="480"/>
        <w:rPr>
          <w:rFonts w:hint="eastAsia"/>
        </w:rPr>
      </w:pPr>
      <w:r>
        <w:rPr>
          <w:rFonts w:hint="eastAsia"/>
        </w:rPr>
        <w:t>1</w:t>
      </w:r>
      <w:r>
        <w:rPr>
          <w:rFonts w:hint="eastAsia"/>
          <w:lang w:val="en-US" w:eastAsia="zh-CN"/>
        </w:rPr>
        <w:t>2</w:t>
      </w:r>
      <w:r>
        <w:rPr>
          <w:rFonts w:hint="eastAsia"/>
        </w:rPr>
        <w:t xml:space="preserve">.4 </w:t>
      </w:r>
      <w:r>
        <w:rPr>
          <w:rFonts w:hint="eastAsia" w:cs="仿宋_GB2312"/>
          <w:szCs w:val="24"/>
        </w:rPr>
        <w:t>本“供应商须知”所称“</w:t>
      </w:r>
      <w:r>
        <w:rPr>
          <w:rFonts w:hint="eastAsia"/>
        </w:rPr>
        <w:t>书面形式</w:t>
      </w:r>
      <w:r>
        <w:rPr>
          <w:rFonts w:hint="eastAsia" w:cs="仿宋_GB2312"/>
          <w:szCs w:val="24"/>
        </w:rPr>
        <w:t>”</w:t>
      </w:r>
      <w:r>
        <w:rPr>
          <w:rFonts w:hint="eastAsia"/>
        </w:rPr>
        <w:t>包括</w:t>
      </w:r>
      <w:r>
        <w:rPr>
          <w:rFonts w:hint="eastAsia"/>
          <w:lang w:val="en-US" w:eastAsia="zh-CN"/>
        </w:rPr>
        <w:t>邮件信息</w:t>
      </w:r>
      <w:r>
        <w:rPr>
          <w:rFonts w:hint="eastAsia"/>
        </w:rPr>
        <w:t>、</w:t>
      </w:r>
      <w:r>
        <w:rPr>
          <w:rFonts w:hint="eastAsia"/>
          <w:lang w:eastAsia="zh-CN"/>
        </w:rPr>
        <w:t>《</w:t>
      </w:r>
      <w:r>
        <w:rPr>
          <w:rFonts w:hint="eastAsia"/>
        </w:rPr>
        <w:t>潜江市鲲展工程项目管理有限公司</w:t>
      </w:r>
      <w:r>
        <w:rPr>
          <w:rFonts w:hint="eastAsia"/>
          <w:lang w:eastAsia="zh-CN"/>
        </w:rPr>
        <w:t>》</w:t>
      </w:r>
      <w:r>
        <w:rPr>
          <w:rFonts w:hint="eastAsia"/>
          <w:lang w:val="en-US" w:eastAsia="zh-CN"/>
        </w:rPr>
        <w:t>官网</w:t>
      </w:r>
      <w:r>
        <w:rPr>
          <w:rFonts w:hint="eastAsia"/>
        </w:rPr>
        <w:t>中发布的公告。</w:t>
      </w:r>
    </w:p>
    <w:p w14:paraId="565F1020">
      <w:pPr>
        <w:pStyle w:val="32"/>
        <w:ind w:firstLine="480"/>
        <w:rPr>
          <w:rFonts w:hint="eastAsia"/>
        </w:rPr>
      </w:pPr>
    </w:p>
    <w:p w14:paraId="55B18985">
      <w:pPr>
        <w:pStyle w:val="4"/>
        <w:numPr>
          <w:ilvl w:val="0"/>
          <w:numId w:val="8"/>
        </w:numPr>
      </w:pPr>
      <w:bookmarkStart w:id="198" w:name="_Toc109899541"/>
      <w:bookmarkStart w:id="199" w:name="_Toc109900379"/>
      <w:bookmarkStart w:id="200" w:name="_Toc470172672"/>
      <w:bookmarkStart w:id="201" w:name="_Toc46771647"/>
      <w:bookmarkStart w:id="202" w:name="_Toc109899960"/>
      <w:bookmarkStart w:id="203" w:name="_Toc109897442"/>
      <w:bookmarkStart w:id="204" w:name="_Toc163493613"/>
      <w:bookmarkStart w:id="205" w:name="_Toc22094"/>
      <w:bookmarkStart w:id="206" w:name="_Toc9977"/>
      <w:r>
        <w:rPr>
          <w:rFonts w:hint="eastAsia"/>
        </w:rPr>
        <w:t>响应文件</w:t>
      </w:r>
      <w:bookmarkEnd w:id="198"/>
      <w:bookmarkEnd w:id="199"/>
      <w:bookmarkEnd w:id="200"/>
      <w:bookmarkEnd w:id="201"/>
      <w:bookmarkEnd w:id="202"/>
      <w:bookmarkEnd w:id="203"/>
      <w:bookmarkEnd w:id="204"/>
      <w:bookmarkEnd w:id="205"/>
      <w:bookmarkEnd w:id="206"/>
    </w:p>
    <w:p w14:paraId="26CF5614">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rPr>
          <w:color w:val="auto"/>
        </w:rPr>
      </w:pPr>
      <w:bookmarkStart w:id="207" w:name="_Toc109899543"/>
      <w:bookmarkStart w:id="208" w:name="_Toc46771649"/>
      <w:bookmarkStart w:id="209" w:name="_Toc52960562"/>
      <w:bookmarkStart w:id="210" w:name="_Toc109900381"/>
      <w:bookmarkStart w:id="211" w:name="_Toc51674220"/>
      <w:bookmarkStart w:id="212" w:name="_Toc470172674"/>
      <w:bookmarkStart w:id="213" w:name="_Toc46772250"/>
      <w:bookmarkStart w:id="214" w:name="_Toc48688798"/>
      <w:bookmarkStart w:id="215" w:name="_Toc109897444"/>
      <w:bookmarkStart w:id="216" w:name="_Toc32272"/>
      <w:bookmarkStart w:id="217" w:name="_Toc109899962"/>
      <w:bookmarkStart w:id="218" w:name="_Toc48846118"/>
      <w:bookmarkStart w:id="219" w:name="_Toc52962736"/>
      <w:r>
        <w:rPr>
          <w:rFonts w:hint="eastAsia"/>
          <w:color w:val="auto"/>
        </w:rPr>
        <w:t>响应文件的</w:t>
      </w:r>
      <w:bookmarkEnd w:id="207"/>
      <w:bookmarkEnd w:id="208"/>
      <w:bookmarkEnd w:id="209"/>
      <w:bookmarkEnd w:id="210"/>
      <w:bookmarkEnd w:id="211"/>
      <w:bookmarkEnd w:id="212"/>
      <w:bookmarkEnd w:id="213"/>
      <w:bookmarkEnd w:id="214"/>
      <w:bookmarkEnd w:id="215"/>
      <w:bookmarkEnd w:id="216"/>
      <w:bookmarkEnd w:id="217"/>
      <w:bookmarkEnd w:id="218"/>
      <w:bookmarkEnd w:id="219"/>
      <w:r>
        <w:rPr>
          <w:rFonts w:hint="eastAsia"/>
          <w:color w:val="auto"/>
        </w:rPr>
        <w:t>组成</w:t>
      </w:r>
    </w:p>
    <w:p w14:paraId="77EE78A9">
      <w:pPr>
        <w:outlineLvl w:val="1"/>
        <w:rPr>
          <w:color w:val="auto"/>
        </w:rPr>
      </w:pPr>
      <w:bookmarkStart w:id="220" w:name="_Toc22320"/>
      <w:r>
        <w:rPr>
          <w:rFonts w:hint="eastAsia"/>
          <w:color w:val="auto"/>
        </w:rPr>
        <w:t>一、</w:t>
      </w:r>
      <w:r>
        <w:rPr>
          <w:color w:val="auto"/>
        </w:rPr>
        <w:t xml:space="preserve"> 磋商书及附件</w:t>
      </w:r>
      <w:bookmarkEnd w:id="220"/>
      <w:r>
        <w:rPr>
          <w:color w:val="auto"/>
        </w:rPr>
        <w:tab/>
      </w:r>
    </w:p>
    <w:p w14:paraId="2FC53843">
      <w:pPr>
        <w:rPr>
          <w:color w:val="auto"/>
        </w:rPr>
      </w:pPr>
      <w:r>
        <w:rPr>
          <w:rFonts w:hint="eastAsia"/>
          <w:color w:val="auto"/>
        </w:rPr>
        <w:t>（一）</w:t>
      </w:r>
      <w:r>
        <w:rPr>
          <w:color w:val="auto"/>
        </w:rPr>
        <w:t xml:space="preserve"> 响应函</w:t>
      </w:r>
      <w:r>
        <w:rPr>
          <w:color w:val="auto"/>
        </w:rPr>
        <w:tab/>
      </w:r>
    </w:p>
    <w:p w14:paraId="6305F62F">
      <w:pPr>
        <w:rPr>
          <w:color w:val="auto"/>
        </w:rPr>
      </w:pPr>
      <w:r>
        <w:rPr>
          <w:rFonts w:hint="eastAsia"/>
          <w:color w:val="auto"/>
        </w:rPr>
        <w:t>（二）</w:t>
      </w:r>
      <w:r>
        <w:rPr>
          <w:color w:val="auto"/>
        </w:rPr>
        <w:t xml:space="preserve"> 法定代表人</w:t>
      </w:r>
      <w:r>
        <w:rPr>
          <w:rFonts w:hint="eastAsia"/>
          <w:color w:val="auto"/>
        </w:rPr>
        <w:t>（负责人）</w:t>
      </w:r>
      <w:r>
        <w:rPr>
          <w:color w:val="auto"/>
        </w:rPr>
        <w:t>身份证明</w:t>
      </w:r>
    </w:p>
    <w:p w14:paraId="56A9AD30">
      <w:pPr>
        <w:rPr>
          <w:color w:val="auto"/>
        </w:rPr>
      </w:pPr>
      <w:r>
        <w:rPr>
          <w:rFonts w:hint="eastAsia"/>
          <w:color w:val="auto"/>
        </w:rPr>
        <w:t>（三）</w:t>
      </w:r>
      <w:r>
        <w:rPr>
          <w:color w:val="auto"/>
        </w:rPr>
        <w:t xml:space="preserve"> 法定代表人</w:t>
      </w:r>
      <w:r>
        <w:rPr>
          <w:rFonts w:hint="eastAsia"/>
          <w:color w:val="auto"/>
        </w:rPr>
        <w:t>（负责人）</w:t>
      </w:r>
      <w:r>
        <w:rPr>
          <w:color w:val="auto"/>
        </w:rPr>
        <w:t>授权书</w:t>
      </w:r>
    </w:p>
    <w:p w14:paraId="1872C6FF">
      <w:pPr>
        <w:outlineLvl w:val="1"/>
        <w:rPr>
          <w:color w:val="auto"/>
        </w:rPr>
      </w:pPr>
      <w:bookmarkStart w:id="221" w:name="_Toc11579"/>
      <w:r>
        <w:rPr>
          <w:rFonts w:hint="eastAsia"/>
          <w:color w:val="auto"/>
        </w:rPr>
        <w:t>二、</w:t>
      </w:r>
      <w:r>
        <w:rPr>
          <w:color w:val="auto"/>
        </w:rPr>
        <w:t xml:space="preserve"> 报价部分</w:t>
      </w:r>
      <w:bookmarkEnd w:id="221"/>
    </w:p>
    <w:p w14:paraId="65F9C8A5">
      <w:pPr>
        <w:rPr>
          <w:color w:val="auto"/>
        </w:rPr>
      </w:pPr>
      <w:r>
        <w:rPr>
          <w:rFonts w:hint="eastAsia"/>
          <w:color w:val="auto"/>
        </w:rPr>
        <w:t>（一）</w:t>
      </w:r>
      <w:r>
        <w:rPr>
          <w:color w:val="auto"/>
        </w:rPr>
        <w:t xml:space="preserve"> 报价一览表</w:t>
      </w:r>
    </w:p>
    <w:p w14:paraId="6661F309">
      <w:pPr>
        <w:rPr>
          <w:color w:val="auto"/>
        </w:rPr>
      </w:pPr>
      <w:r>
        <w:rPr>
          <w:rFonts w:hint="eastAsia"/>
          <w:color w:val="auto"/>
        </w:rPr>
        <w:t>（二）</w:t>
      </w:r>
      <w:r>
        <w:rPr>
          <w:color w:val="auto"/>
        </w:rPr>
        <w:t xml:space="preserve"> 分项报价表</w:t>
      </w:r>
    </w:p>
    <w:p w14:paraId="15B3CD35">
      <w:pPr>
        <w:outlineLvl w:val="1"/>
        <w:rPr>
          <w:color w:val="auto"/>
        </w:rPr>
      </w:pPr>
      <w:bookmarkStart w:id="222" w:name="_Toc5879"/>
      <w:r>
        <w:rPr>
          <w:rFonts w:hint="eastAsia"/>
          <w:color w:val="auto"/>
        </w:rPr>
        <w:t>三、</w:t>
      </w:r>
      <w:r>
        <w:rPr>
          <w:color w:val="auto"/>
        </w:rPr>
        <w:t xml:space="preserve"> 商务部分</w:t>
      </w:r>
      <w:bookmarkEnd w:id="222"/>
    </w:p>
    <w:p w14:paraId="797A4BF9">
      <w:pPr>
        <w:rPr>
          <w:color w:val="auto"/>
        </w:rPr>
      </w:pPr>
      <w:r>
        <w:rPr>
          <w:rFonts w:hint="eastAsia"/>
          <w:color w:val="auto"/>
        </w:rPr>
        <w:t>（一）</w:t>
      </w:r>
      <w:r>
        <w:rPr>
          <w:color w:val="auto"/>
        </w:rPr>
        <w:t xml:space="preserve"> 供应商基本情况表</w:t>
      </w:r>
    </w:p>
    <w:p w14:paraId="2E155315">
      <w:pPr>
        <w:rPr>
          <w:color w:val="auto"/>
        </w:rPr>
      </w:pPr>
      <w:r>
        <w:rPr>
          <w:rFonts w:hint="eastAsia"/>
          <w:color w:val="auto"/>
        </w:rPr>
        <w:t>（二）</w:t>
      </w:r>
      <w:r>
        <w:rPr>
          <w:color w:val="auto"/>
        </w:rPr>
        <w:t xml:space="preserve"> 关于资格条件的有关承诺及声明</w:t>
      </w:r>
    </w:p>
    <w:p w14:paraId="4E44E7DF">
      <w:pPr>
        <w:rPr>
          <w:color w:val="auto"/>
        </w:rPr>
      </w:pPr>
      <w:r>
        <w:rPr>
          <w:rFonts w:hint="eastAsia"/>
          <w:color w:val="auto"/>
        </w:rPr>
        <w:t>（三）</w:t>
      </w:r>
      <w:r>
        <w:rPr>
          <w:color w:val="auto"/>
        </w:rPr>
        <w:t xml:space="preserve"> 资格证明文件</w:t>
      </w:r>
    </w:p>
    <w:p w14:paraId="1FC8BDB7">
      <w:pPr>
        <w:rPr>
          <w:color w:val="auto"/>
        </w:rPr>
      </w:pPr>
      <w:r>
        <w:rPr>
          <w:rFonts w:hint="eastAsia"/>
          <w:color w:val="auto"/>
        </w:rPr>
        <w:t>（四）</w:t>
      </w:r>
      <w:r>
        <w:rPr>
          <w:color w:val="auto"/>
        </w:rPr>
        <w:t xml:space="preserve"> 业绩证明文件</w:t>
      </w:r>
    </w:p>
    <w:p w14:paraId="4BB49B89">
      <w:pPr>
        <w:rPr>
          <w:color w:val="auto"/>
        </w:rPr>
      </w:pPr>
      <w:r>
        <w:rPr>
          <w:rFonts w:hint="eastAsia"/>
          <w:color w:val="auto"/>
        </w:rPr>
        <w:t>（五）</w:t>
      </w:r>
      <w:r>
        <w:rPr>
          <w:color w:val="auto"/>
        </w:rPr>
        <w:t xml:space="preserve"> 信誉、荣誉状况证明文件</w:t>
      </w:r>
    </w:p>
    <w:p w14:paraId="5E7074F7">
      <w:pPr>
        <w:rPr>
          <w:color w:val="auto"/>
        </w:rPr>
      </w:pPr>
      <w:r>
        <w:rPr>
          <w:rFonts w:hint="eastAsia"/>
          <w:color w:val="auto"/>
        </w:rPr>
        <w:t>（六）</w:t>
      </w:r>
      <w:r>
        <w:rPr>
          <w:color w:val="auto"/>
        </w:rPr>
        <w:t xml:space="preserve"> 商务响应偏离表</w:t>
      </w:r>
    </w:p>
    <w:p w14:paraId="69EF1B46">
      <w:pPr>
        <w:rPr>
          <w:color w:val="auto"/>
        </w:rPr>
      </w:pPr>
      <w:r>
        <w:rPr>
          <w:rFonts w:hint="eastAsia"/>
          <w:color w:val="auto"/>
        </w:rPr>
        <w:t>（七）</w:t>
      </w:r>
      <w:r>
        <w:rPr>
          <w:color w:val="auto"/>
        </w:rPr>
        <w:t xml:space="preserve"> 其它商务文件</w:t>
      </w:r>
    </w:p>
    <w:p w14:paraId="0F571673">
      <w:pPr>
        <w:outlineLvl w:val="1"/>
        <w:rPr>
          <w:color w:val="auto"/>
        </w:rPr>
      </w:pPr>
      <w:bookmarkStart w:id="223" w:name="_Toc8284"/>
      <w:r>
        <w:rPr>
          <w:rFonts w:hint="eastAsia"/>
          <w:color w:val="auto"/>
        </w:rPr>
        <w:t>四、</w:t>
      </w:r>
      <w:r>
        <w:rPr>
          <w:color w:val="auto"/>
        </w:rPr>
        <w:t xml:space="preserve"> 技术部分</w:t>
      </w:r>
      <w:bookmarkEnd w:id="223"/>
    </w:p>
    <w:p w14:paraId="18B0A186">
      <w:pPr>
        <w:rPr>
          <w:color w:val="auto"/>
        </w:rPr>
      </w:pPr>
      <w:r>
        <w:rPr>
          <w:rFonts w:hint="eastAsia"/>
          <w:color w:val="auto"/>
        </w:rPr>
        <w:t>（一）</w:t>
      </w:r>
      <w:r>
        <w:rPr>
          <w:color w:val="auto"/>
        </w:rPr>
        <w:t xml:space="preserve"> 技术响应偏离表</w:t>
      </w:r>
    </w:p>
    <w:p w14:paraId="78B562E9">
      <w:pPr>
        <w:rPr>
          <w:color w:val="auto"/>
        </w:rPr>
      </w:pPr>
      <w:r>
        <w:rPr>
          <w:rFonts w:hint="eastAsia"/>
          <w:color w:val="auto"/>
        </w:rPr>
        <w:t>（二）</w:t>
      </w:r>
      <w:r>
        <w:rPr>
          <w:color w:val="auto"/>
        </w:rPr>
        <w:t xml:space="preserve"> 技术方案</w:t>
      </w:r>
    </w:p>
    <w:p w14:paraId="0C8D8F50">
      <w:pPr>
        <w:rPr>
          <w:color w:val="auto"/>
        </w:rPr>
      </w:pPr>
      <w:r>
        <w:rPr>
          <w:rFonts w:hint="eastAsia"/>
          <w:color w:val="auto"/>
        </w:rPr>
        <w:t>（三）</w:t>
      </w:r>
      <w:r>
        <w:rPr>
          <w:color w:val="auto"/>
        </w:rPr>
        <w:t xml:space="preserve"> 其它技术文件</w:t>
      </w:r>
    </w:p>
    <w:p w14:paraId="31F77C46">
      <w:pPr>
        <w:outlineLvl w:val="1"/>
        <w:rPr>
          <w:color w:val="auto"/>
        </w:rPr>
      </w:pPr>
      <w:bookmarkStart w:id="224" w:name="_Toc20945"/>
      <w:r>
        <w:rPr>
          <w:rFonts w:hint="eastAsia"/>
          <w:color w:val="auto"/>
        </w:rPr>
        <w:t>五、</w:t>
      </w:r>
      <w:r>
        <w:rPr>
          <w:color w:val="auto"/>
        </w:rPr>
        <w:t xml:space="preserve"> 落实政府采购政策相关证明文件</w:t>
      </w:r>
      <w:bookmarkEnd w:id="224"/>
    </w:p>
    <w:p w14:paraId="340321CD">
      <w:pPr>
        <w:outlineLvl w:val="1"/>
        <w:rPr>
          <w:color w:val="auto"/>
        </w:rPr>
      </w:pPr>
      <w:bookmarkStart w:id="225" w:name="_Toc12345"/>
      <w:r>
        <w:rPr>
          <w:rFonts w:hint="eastAsia"/>
          <w:color w:val="auto"/>
        </w:rPr>
        <w:t>六、</w:t>
      </w:r>
      <w:r>
        <w:rPr>
          <w:color w:val="auto"/>
        </w:rPr>
        <w:t xml:space="preserve"> 供应商认为需要提供的其他资料</w:t>
      </w:r>
      <w:bookmarkEnd w:id="225"/>
    </w:p>
    <w:p w14:paraId="0914D44D">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226" w:name="_Toc46772252"/>
      <w:bookmarkStart w:id="227" w:name="_Toc52960564"/>
      <w:bookmarkStart w:id="228" w:name="_Toc24544"/>
      <w:bookmarkStart w:id="229" w:name="_Toc51674222"/>
      <w:bookmarkStart w:id="230" w:name="_Toc109900383"/>
      <w:bookmarkStart w:id="231" w:name="_Toc109899964"/>
      <w:bookmarkStart w:id="232" w:name="_Toc46771651"/>
      <w:bookmarkStart w:id="233" w:name="_Toc109897446"/>
      <w:bookmarkStart w:id="234" w:name="_Toc48688800"/>
      <w:bookmarkStart w:id="235" w:name="_Toc48846120"/>
      <w:bookmarkStart w:id="236" w:name="_Toc109899545"/>
      <w:bookmarkStart w:id="237" w:name="_Toc52962738"/>
      <w:bookmarkStart w:id="238" w:name="_Toc470172676"/>
      <w:bookmarkStart w:id="239" w:name="_Toc51674221"/>
      <w:bookmarkStart w:id="240" w:name="_Toc109899544"/>
      <w:bookmarkStart w:id="241" w:name="_Toc48688799"/>
      <w:bookmarkStart w:id="242" w:name="_Toc48846119"/>
      <w:bookmarkStart w:id="243" w:name="_Toc109900382"/>
      <w:bookmarkStart w:id="244" w:name="_Toc52962737"/>
      <w:bookmarkStart w:id="245" w:name="_Toc46772251"/>
      <w:bookmarkStart w:id="246" w:name="_Toc52960563"/>
      <w:bookmarkStart w:id="247" w:name="_Toc109897445"/>
      <w:bookmarkStart w:id="248" w:name="_Toc25217"/>
      <w:bookmarkStart w:id="249" w:name="_Toc109899963"/>
      <w:bookmarkStart w:id="250" w:name="_Toc470172675"/>
      <w:bookmarkStart w:id="251" w:name="_Toc46771650"/>
      <w:r>
        <w:rPr>
          <w:rFonts w:hint="eastAsia"/>
        </w:rPr>
        <w:t>磋商报价</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21E65979">
      <w:pPr>
        <w:pStyle w:val="32"/>
        <w:ind w:firstLine="480"/>
        <w:rPr>
          <w:snapToGrid w:val="0"/>
          <w:lang w:val="zh-CN"/>
        </w:rPr>
      </w:pPr>
      <w:r>
        <w:rPr>
          <w:snapToGrid w:val="0"/>
          <w:lang w:val="zh-CN"/>
        </w:rPr>
        <w:t>1</w:t>
      </w:r>
      <w:r>
        <w:rPr>
          <w:rFonts w:hint="eastAsia"/>
          <w:snapToGrid w:val="0"/>
          <w:lang w:val="en-US" w:eastAsia="zh-CN"/>
        </w:rPr>
        <w:t>4</w:t>
      </w:r>
      <w:r>
        <w:rPr>
          <w:rFonts w:hint="eastAsia"/>
          <w:snapToGrid w:val="0"/>
          <w:lang w:val="zh-CN"/>
        </w:rPr>
        <w:t>.1磋商报价包括磋商供应商在首次提交的响应文件中的报价、磋商过程中的报价和最后报价。磋商供应商的报价均应以人民币报价。</w:t>
      </w:r>
    </w:p>
    <w:p w14:paraId="5D99B580">
      <w:pPr>
        <w:pStyle w:val="32"/>
        <w:ind w:firstLine="480"/>
        <w:rPr>
          <w:snapToGrid w:val="0"/>
          <w:lang w:val="zh-CN"/>
        </w:rPr>
      </w:pPr>
      <w:r>
        <w:rPr>
          <w:snapToGrid w:val="0"/>
          <w:lang w:val="zh-CN"/>
        </w:rPr>
        <w:t>1</w:t>
      </w:r>
      <w:r>
        <w:rPr>
          <w:rFonts w:hint="eastAsia"/>
          <w:snapToGrid w:val="0"/>
          <w:lang w:val="en-US" w:eastAsia="zh-CN"/>
        </w:rPr>
        <w:t>4</w:t>
      </w:r>
      <w:r>
        <w:rPr>
          <w:rFonts w:hint="eastAsia"/>
          <w:snapToGrid w:val="0"/>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b/>
          <w:bCs/>
          <w:snapToGrid w:val="0"/>
          <w:lang w:val="zh-CN"/>
        </w:rPr>
        <w:t>无效文件</w:t>
      </w:r>
      <w:r>
        <w:rPr>
          <w:rFonts w:hint="eastAsia"/>
          <w:snapToGrid w:val="0"/>
          <w:lang w:val="zh-CN"/>
        </w:rPr>
        <w:t>。</w:t>
      </w:r>
    </w:p>
    <w:p w14:paraId="11597A76">
      <w:pPr>
        <w:pStyle w:val="32"/>
        <w:ind w:firstLine="480"/>
        <w:rPr>
          <w:snapToGrid w:val="0"/>
          <w:lang w:val="zh-CN"/>
        </w:rPr>
      </w:pPr>
      <w:r>
        <w:rPr>
          <w:snapToGrid w:val="0"/>
          <w:lang w:val="zh-CN"/>
        </w:rPr>
        <w:t>1</w:t>
      </w:r>
      <w:r>
        <w:rPr>
          <w:rFonts w:hint="eastAsia"/>
          <w:snapToGrid w:val="0"/>
          <w:lang w:val="en-US" w:eastAsia="zh-CN"/>
        </w:rPr>
        <w:t>4</w:t>
      </w:r>
      <w:r>
        <w:rPr>
          <w:rFonts w:hint="eastAsia"/>
          <w:snapToGrid w:val="0"/>
          <w:lang w:val="zh-CN"/>
        </w:rPr>
        <w:t>.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14:paraId="1FB9EA7D">
      <w:pPr>
        <w:pStyle w:val="32"/>
        <w:ind w:firstLine="480"/>
        <w:rPr>
          <w:snapToGrid w:val="0"/>
          <w:lang w:val="zh-CN"/>
        </w:rPr>
      </w:pPr>
      <w:r>
        <w:rPr>
          <w:snapToGrid w:val="0"/>
          <w:lang w:val="zh-CN"/>
        </w:rPr>
        <w:t>1</w:t>
      </w:r>
      <w:r>
        <w:rPr>
          <w:rFonts w:hint="eastAsia"/>
          <w:snapToGrid w:val="0"/>
          <w:lang w:val="en-US" w:eastAsia="zh-CN"/>
        </w:rPr>
        <w:t>4</w:t>
      </w:r>
      <w:r>
        <w:rPr>
          <w:rFonts w:hint="eastAsia"/>
          <w:snapToGrid w:val="0"/>
          <w:lang w:val="zh-CN"/>
        </w:rPr>
        <w:t>.4供应商在响应文件中注明免费的项目将视为包含在报价中。</w:t>
      </w:r>
    </w:p>
    <w:p w14:paraId="77DD49B5">
      <w:pPr>
        <w:pStyle w:val="32"/>
        <w:ind w:firstLine="480"/>
        <w:rPr>
          <w:snapToGrid w:val="0"/>
          <w:lang w:val="zh-CN"/>
        </w:rPr>
      </w:pPr>
      <w:r>
        <w:rPr>
          <w:snapToGrid w:val="0"/>
          <w:lang w:val="zh-CN"/>
        </w:rPr>
        <w:t>1</w:t>
      </w:r>
      <w:r>
        <w:rPr>
          <w:rFonts w:hint="eastAsia"/>
          <w:snapToGrid w:val="0"/>
          <w:lang w:val="en-US" w:eastAsia="zh-CN"/>
        </w:rPr>
        <w:t>4</w:t>
      </w:r>
      <w:r>
        <w:rPr>
          <w:rFonts w:hint="eastAsia"/>
          <w:snapToGrid w:val="0"/>
          <w:lang w:val="zh-CN"/>
        </w:rPr>
        <w:t>.5每一种采购内容只允许有一个报价，否则其响应文件将被视为</w:t>
      </w:r>
      <w:r>
        <w:rPr>
          <w:rFonts w:hint="eastAsia"/>
          <w:b/>
          <w:bCs/>
          <w:snapToGrid w:val="0"/>
          <w:lang w:val="zh-CN"/>
        </w:rPr>
        <w:t>无效文件</w:t>
      </w:r>
      <w:r>
        <w:rPr>
          <w:rFonts w:hint="eastAsia"/>
          <w:snapToGrid w:val="0"/>
          <w:lang w:val="zh-CN"/>
        </w:rPr>
        <w:t>。</w:t>
      </w:r>
    </w:p>
    <w:p w14:paraId="12B5BEC5">
      <w:pPr>
        <w:pStyle w:val="32"/>
        <w:ind w:firstLine="480"/>
        <w:rPr>
          <w:snapToGrid w:val="0"/>
          <w:lang w:val="zh-CN"/>
        </w:rPr>
      </w:pPr>
      <w:r>
        <w:rPr>
          <w:snapToGrid w:val="0"/>
          <w:lang w:val="zh-CN"/>
        </w:rPr>
        <w:t>1</w:t>
      </w:r>
      <w:r>
        <w:rPr>
          <w:rFonts w:hint="eastAsia"/>
          <w:snapToGrid w:val="0"/>
          <w:lang w:val="en-US" w:eastAsia="zh-CN"/>
        </w:rPr>
        <w:t>4</w:t>
      </w:r>
      <w:r>
        <w:rPr>
          <w:rFonts w:hint="eastAsia"/>
          <w:snapToGrid w:val="0"/>
          <w:lang w:val="zh-CN"/>
        </w:rPr>
        <w:t>.6</w:t>
      </w:r>
      <w:r>
        <w:rPr>
          <w:rFonts w:hint="eastAsia" w:cs="仿宋_GB2312"/>
          <w:szCs w:val="24"/>
        </w:rPr>
        <w:t>报价不得超过</w:t>
      </w:r>
      <w:bookmarkStart w:id="252" w:name="_Hlk161703672"/>
      <w:r>
        <w:rPr>
          <w:rFonts w:hint="eastAsia" w:cs="仿宋_GB2312"/>
          <w:szCs w:val="24"/>
        </w:rPr>
        <w:t>“供应商须知前附表”中规定</w:t>
      </w:r>
      <w:bookmarkEnd w:id="252"/>
      <w:r>
        <w:rPr>
          <w:rFonts w:hint="eastAsia" w:cs="仿宋_GB2312"/>
          <w:szCs w:val="24"/>
        </w:rPr>
        <w:t>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3D2771F1">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253" w:name="_Toc5668"/>
      <w:bookmarkStart w:id="254" w:name="_Toc48688806"/>
      <w:bookmarkStart w:id="255" w:name="_Toc51674228"/>
      <w:bookmarkStart w:id="256" w:name="_Toc109899550"/>
      <w:bookmarkStart w:id="257" w:name="_Toc48846126"/>
      <w:bookmarkStart w:id="258" w:name="_Toc470172682"/>
      <w:bookmarkStart w:id="259" w:name="_Toc109900388"/>
      <w:bookmarkStart w:id="260" w:name="_Toc52960570"/>
      <w:bookmarkStart w:id="261" w:name="_Toc46772258"/>
      <w:bookmarkStart w:id="262" w:name="_Toc46771657"/>
      <w:bookmarkStart w:id="263" w:name="_Toc52962744"/>
      <w:bookmarkStart w:id="264" w:name="_Toc109899969"/>
      <w:bookmarkStart w:id="265" w:name="_Toc109897451"/>
      <w:bookmarkStart w:id="266" w:name="_Toc470172678"/>
      <w:bookmarkStart w:id="267" w:name="_Toc46772254"/>
      <w:bookmarkStart w:id="268" w:name="_Toc48688802"/>
      <w:bookmarkStart w:id="269" w:name="_Toc52962740"/>
      <w:bookmarkStart w:id="270" w:name="_Toc51674224"/>
      <w:bookmarkStart w:id="271" w:name="_Toc3324"/>
      <w:bookmarkStart w:id="272" w:name="_Toc109899966"/>
      <w:bookmarkStart w:id="273" w:name="_Toc48846122"/>
      <w:bookmarkStart w:id="274" w:name="_Toc46771653"/>
      <w:bookmarkStart w:id="275" w:name="_Toc109897448"/>
      <w:bookmarkStart w:id="276" w:name="_Toc109899547"/>
      <w:bookmarkStart w:id="277" w:name="_Toc52960566"/>
      <w:bookmarkStart w:id="278" w:name="_Toc109900385"/>
      <w:r>
        <w:rPr>
          <w:rFonts w:hint="eastAsia"/>
        </w:rPr>
        <w:t>响应文件有效期</w:t>
      </w:r>
      <w:bookmarkEnd w:id="253"/>
      <w:bookmarkEnd w:id="254"/>
      <w:bookmarkEnd w:id="255"/>
      <w:bookmarkEnd w:id="256"/>
      <w:bookmarkEnd w:id="257"/>
      <w:bookmarkEnd w:id="258"/>
      <w:bookmarkEnd w:id="259"/>
      <w:bookmarkEnd w:id="260"/>
      <w:bookmarkEnd w:id="261"/>
      <w:bookmarkEnd w:id="262"/>
      <w:bookmarkEnd w:id="263"/>
      <w:bookmarkEnd w:id="264"/>
      <w:bookmarkEnd w:id="265"/>
    </w:p>
    <w:p w14:paraId="3F6489EE">
      <w:pPr>
        <w:pStyle w:val="32"/>
        <w:ind w:firstLine="480"/>
        <w:rPr>
          <w:snapToGrid w:val="0"/>
          <w:lang w:val="zh-CN"/>
        </w:rPr>
      </w:pPr>
      <w:r>
        <w:rPr>
          <w:snapToGrid w:val="0"/>
          <w:lang w:val="zh-CN"/>
        </w:rPr>
        <w:t>1</w:t>
      </w:r>
      <w:r>
        <w:rPr>
          <w:rFonts w:hint="eastAsia"/>
          <w:snapToGrid w:val="0"/>
          <w:lang w:val="en-US" w:eastAsia="zh-CN"/>
        </w:rPr>
        <w:t>5</w:t>
      </w:r>
      <w:r>
        <w:rPr>
          <w:rFonts w:hint="eastAsia"/>
          <w:snapToGrid w:val="0"/>
          <w:lang w:val="zh-CN"/>
        </w:rPr>
        <w:t>.1采购响应文件有效期见”供应商须知前附表”，磋商供应商承诺的响应文件有效期不足的，其响应文件将被视为</w:t>
      </w:r>
      <w:r>
        <w:rPr>
          <w:rFonts w:hint="eastAsia"/>
          <w:b/>
          <w:bCs/>
          <w:snapToGrid w:val="0"/>
          <w:lang w:val="zh-CN"/>
        </w:rPr>
        <w:t>无效文件</w:t>
      </w:r>
      <w:r>
        <w:rPr>
          <w:rFonts w:hint="eastAsia"/>
          <w:snapToGrid w:val="0"/>
          <w:lang w:val="zh-CN"/>
        </w:rPr>
        <w:t>。</w:t>
      </w:r>
    </w:p>
    <w:p w14:paraId="4C86EAC3">
      <w:pPr>
        <w:pStyle w:val="32"/>
        <w:ind w:firstLine="480"/>
        <w:rPr>
          <w:rFonts w:hint="eastAsia" w:ascii="宋体" w:hAnsi="宋体" w:eastAsia="宋体"/>
          <w:snapToGrid w:val="0"/>
          <w:lang w:val="zh-CN"/>
        </w:rPr>
      </w:pPr>
      <w:r>
        <w:rPr>
          <w:rFonts w:hint="eastAsia"/>
          <w:snapToGrid w:val="0"/>
          <w:lang w:val="zh-CN"/>
        </w:rPr>
        <w:t>1</w:t>
      </w:r>
      <w:r>
        <w:rPr>
          <w:rFonts w:hint="eastAsia"/>
          <w:snapToGrid w:val="0"/>
          <w:lang w:val="en-US" w:eastAsia="zh-CN"/>
        </w:rPr>
        <w:t>5</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w:t>
      </w:r>
      <w:r>
        <w:rPr>
          <w:rFonts w:hint="eastAsia" w:ascii="宋体" w:hAnsi="宋体" w:eastAsia="宋体"/>
          <w:snapToGrid w:val="0"/>
          <w:lang w:val="zh-CN"/>
        </w:rPr>
        <w:t>延长响应文件有效期。</w:t>
      </w:r>
    </w:p>
    <w:bookmarkEnd w:id="266"/>
    <w:bookmarkEnd w:id="267"/>
    <w:bookmarkEnd w:id="268"/>
    <w:bookmarkEnd w:id="269"/>
    <w:bookmarkEnd w:id="270"/>
    <w:bookmarkEnd w:id="271"/>
    <w:bookmarkEnd w:id="272"/>
    <w:bookmarkEnd w:id="273"/>
    <w:bookmarkEnd w:id="274"/>
    <w:bookmarkEnd w:id="275"/>
    <w:bookmarkEnd w:id="276"/>
    <w:bookmarkEnd w:id="277"/>
    <w:bookmarkEnd w:id="278"/>
    <w:p w14:paraId="3F4CDFDC">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rPr>
          <w:rFonts w:hint="eastAsia"/>
        </w:rPr>
        <w:t>响应文件的编制</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EFDF0BF">
      <w:pPr>
        <w:pStyle w:val="32"/>
        <w:ind w:firstLine="480"/>
        <w:rPr>
          <w:rFonts w:hint="eastAsia" w:ascii="宋体" w:hAnsi="宋体" w:cs="Arial"/>
          <w:kern w:val="0"/>
          <w:lang w:eastAsia="zh-CN"/>
        </w:rPr>
      </w:pPr>
      <w:r>
        <w:rPr>
          <w:rFonts w:hint="eastAsia" w:ascii="宋体" w:hAnsi="宋体" w:cs="Arial"/>
          <w:kern w:val="0"/>
          <w:lang w:val="en-US" w:eastAsia="zh-CN"/>
        </w:rPr>
        <w:t>16.1</w:t>
      </w:r>
      <w:r>
        <w:rPr>
          <w:rFonts w:hint="eastAsia" w:ascii="宋体" w:hAnsi="宋体" w:cs="Arial"/>
          <w:kern w:val="0"/>
        </w:rPr>
        <w:t>供应商应严格按照竞争性磋商文件中的有关要求如实编制响应文件，并提供证明材料。采购人保留进一步要求供应商补充提供有关材料的权利，供应商拒绝补充材料或提供的材料不真实，将被视为自动放弃投标资格</w:t>
      </w:r>
      <w:r>
        <w:rPr>
          <w:rFonts w:hint="eastAsia" w:ascii="宋体" w:hAnsi="宋体" w:cs="Arial"/>
          <w:kern w:val="0"/>
          <w:lang w:eastAsia="zh-CN"/>
        </w:rPr>
        <w:t>。</w:t>
      </w:r>
    </w:p>
    <w:p w14:paraId="409B5B3F">
      <w:pPr>
        <w:pStyle w:val="32"/>
        <w:ind w:firstLine="480"/>
        <w:rPr>
          <w:rFonts w:hint="eastAsia" w:ascii="宋体" w:hAnsi="宋体" w:cs="Arial"/>
          <w:kern w:val="0"/>
          <w:lang w:val="en-US" w:eastAsia="zh-CN"/>
        </w:rPr>
      </w:pPr>
      <w:r>
        <w:rPr>
          <w:rFonts w:hint="eastAsia" w:ascii="宋体" w:hAnsi="宋体" w:cs="Arial"/>
          <w:kern w:val="0"/>
          <w:lang w:val="en-US" w:eastAsia="zh-CN"/>
        </w:rPr>
        <w:t>16.2 供应商应准备正本壹份和副本贰份，及电子文件（U 盘）壹</w:t>
      </w:r>
      <w:r>
        <w:rPr>
          <w:rFonts w:hint="eastAsia" w:ascii="宋体" w:hAnsi="宋体" w:cs="Arial"/>
          <w:color w:val="auto"/>
          <w:kern w:val="0"/>
          <w:lang w:val="en-US" w:eastAsia="zh-CN"/>
        </w:rPr>
        <w:t>份（需是加盖鲜章后的扫描件）。</w:t>
      </w:r>
      <w:r>
        <w:rPr>
          <w:rFonts w:hint="eastAsia" w:ascii="宋体" w:hAnsi="宋体" w:cs="Arial"/>
          <w:kern w:val="0"/>
          <w:lang w:val="en-US" w:eastAsia="zh-CN"/>
        </w:rPr>
        <w:t>在每壹份响应文件上要明确注明“正本”或“副本”字样，若正本和副本不符， 以正本为准。</w:t>
      </w:r>
    </w:p>
    <w:p w14:paraId="2A010DBC">
      <w:pPr>
        <w:pStyle w:val="32"/>
        <w:ind w:firstLine="480"/>
        <w:rPr>
          <w:rFonts w:hint="eastAsia" w:ascii="宋体" w:hAnsi="宋体" w:cs="Arial"/>
          <w:kern w:val="0"/>
          <w:lang w:val="en-US" w:eastAsia="zh-CN"/>
        </w:rPr>
      </w:pPr>
      <w:r>
        <w:rPr>
          <w:rFonts w:hint="eastAsia" w:ascii="宋体" w:hAnsi="宋体" w:cs="Arial"/>
          <w:kern w:val="0"/>
          <w:lang w:val="en-US" w:eastAsia="zh-CN"/>
        </w:rPr>
        <w:t>16.3 响应文件应使用打印、复印或不能擦去的墨水书写，文字要清晰，语意要明确，并按要求在响应文件加盖单位公章和由法定代表人（或委托代理人） 签名。响应文件的副本应由正本的复印件组成。</w:t>
      </w:r>
    </w:p>
    <w:p w14:paraId="6D7E330A">
      <w:pPr>
        <w:ind w:left="0" w:leftChars="0" w:firstLine="0" w:firstLineChars="0"/>
      </w:pPr>
    </w:p>
    <w:p w14:paraId="773ABDB7">
      <w:pPr>
        <w:pStyle w:val="4"/>
        <w:numPr>
          <w:ilvl w:val="0"/>
          <w:numId w:val="8"/>
        </w:numPr>
      </w:pPr>
      <w:bookmarkStart w:id="279" w:name="_Toc109899971"/>
      <w:bookmarkStart w:id="280" w:name="_Toc109897453"/>
      <w:bookmarkStart w:id="281" w:name="_Toc109900390"/>
      <w:bookmarkStart w:id="282" w:name="_Toc46771659"/>
      <w:bookmarkStart w:id="283" w:name="_Toc470172684"/>
      <w:bookmarkStart w:id="284" w:name="_Toc109899552"/>
      <w:bookmarkStart w:id="285" w:name="_Toc163493614"/>
      <w:bookmarkStart w:id="286" w:name="_Toc6525"/>
      <w:bookmarkStart w:id="287" w:name="_Toc24245"/>
      <w:r>
        <w:rPr>
          <w:rFonts w:hint="eastAsia"/>
        </w:rPr>
        <w:t>响应文件的</w:t>
      </w:r>
      <w:bookmarkEnd w:id="279"/>
      <w:bookmarkEnd w:id="280"/>
      <w:bookmarkEnd w:id="281"/>
      <w:bookmarkEnd w:id="282"/>
      <w:bookmarkEnd w:id="283"/>
      <w:bookmarkEnd w:id="284"/>
      <w:r>
        <w:rPr>
          <w:rFonts w:hint="eastAsia"/>
        </w:rPr>
        <w:t>递交</w:t>
      </w:r>
      <w:bookmarkEnd w:id="285"/>
      <w:bookmarkEnd w:id="286"/>
      <w:bookmarkEnd w:id="287"/>
    </w:p>
    <w:p w14:paraId="64241905">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288" w:name="_Toc109899651"/>
      <w:bookmarkStart w:id="289" w:name="_Toc109900070"/>
      <w:bookmarkStart w:id="290" w:name="_Toc155095707"/>
      <w:bookmarkStart w:id="291" w:name="_Toc156490296"/>
      <w:bookmarkStart w:id="292" w:name="_Toc109897552"/>
      <w:bookmarkStart w:id="293" w:name="_Toc109900489"/>
      <w:bookmarkStart w:id="294" w:name="_Toc109897553"/>
      <w:bookmarkStart w:id="295" w:name="_Toc109899652"/>
      <w:bookmarkStart w:id="296" w:name="_Toc109900071"/>
      <w:bookmarkStart w:id="297" w:name="_Toc109900490"/>
      <w:bookmarkStart w:id="298" w:name="_Toc155095708"/>
      <w:bookmarkStart w:id="299" w:name="_Toc156490297"/>
      <w:r>
        <w:rPr>
          <w:rFonts w:hint="eastAsia"/>
        </w:rPr>
        <w:t>响应文件的</w:t>
      </w:r>
      <w:bookmarkEnd w:id="288"/>
      <w:bookmarkEnd w:id="289"/>
      <w:bookmarkEnd w:id="290"/>
      <w:bookmarkEnd w:id="291"/>
      <w:bookmarkEnd w:id="292"/>
      <w:bookmarkEnd w:id="293"/>
      <w:r>
        <w:rPr>
          <w:rFonts w:hint="eastAsia"/>
          <w:lang w:val="en-US" w:eastAsia="zh-CN"/>
        </w:rPr>
        <w:t>密封</w:t>
      </w:r>
    </w:p>
    <w:p w14:paraId="570A37EE">
      <w:pPr>
        <w:pStyle w:val="32"/>
        <w:ind w:firstLine="480"/>
        <w:rPr>
          <w:snapToGrid w:val="0"/>
          <w:lang w:val="zh-CN"/>
        </w:rPr>
      </w:pPr>
      <w:r>
        <w:rPr>
          <w:snapToGrid w:val="0"/>
          <w:lang w:val="zh-CN"/>
        </w:rPr>
        <w:t>1</w:t>
      </w:r>
      <w:r>
        <w:rPr>
          <w:rFonts w:hint="eastAsia"/>
          <w:snapToGrid w:val="0"/>
          <w:lang w:val="en-US" w:eastAsia="zh-CN"/>
        </w:rPr>
        <w:t>7</w:t>
      </w:r>
      <w:r>
        <w:rPr>
          <w:snapToGrid w:val="0"/>
          <w:lang w:val="zh-CN"/>
        </w:rPr>
        <w:t xml:space="preserve">.1 </w:t>
      </w:r>
      <w:r>
        <w:rPr>
          <w:rFonts w:hint="eastAsia"/>
          <w:snapToGrid w:val="0"/>
          <w:lang w:val="en-US" w:eastAsia="zh-CN"/>
        </w:rPr>
        <w:t>响应</w:t>
      </w:r>
      <w:r>
        <w:rPr>
          <w:rFonts w:hint="eastAsia"/>
          <w:snapToGrid w:val="0"/>
          <w:lang w:val="zh-CN"/>
        </w:rPr>
        <w:t>文件的外封包（信封）上应注明采购项目名称、项目编号和有“在  年  月  日  时  分之前不得启封”的字样，封口处加盖投标供应商公章。供应商需单独提交一份密封的“开标一览表”。此外，供应商须手持一份法定代表人授权委托书参与开标。</w:t>
      </w:r>
    </w:p>
    <w:p w14:paraId="71F0E876">
      <w:pPr>
        <w:pStyle w:val="32"/>
        <w:ind w:firstLine="480"/>
        <w:rPr>
          <w:snapToGrid w:val="0"/>
          <w:lang w:val="zh-CN"/>
        </w:rPr>
      </w:pPr>
      <w:r>
        <w:rPr>
          <w:snapToGrid w:val="0"/>
          <w:lang w:val="zh-CN"/>
        </w:rPr>
        <w:t>1</w:t>
      </w:r>
      <w:r>
        <w:rPr>
          <w:rFonts w:hint="eastAsia"/>
          <w:snapToGrid w:val="0"/>
          <w:lang w:val="en-US" w:eastAsia="zh-CN"/>
        </w:rPr>
        <w:t>7</w:t>
      </w:r>
      <w:r>
        <w:rPr>
          <w:snapToGrid w:val="0"/>
          <w:lang w:val="zh-CN"/>
        </w:rPr>
        <w:t xml:space="preserve">.2 </w:t>
      </w:r>
      <w:r>
        <w:rPr>
          <w:rFonts w:hint="eastAsia"/>
          <w:snapToGrid w:val="0"/>
          <w:lang w:val="zh-CN"/>
        </w:rPr>
        <w:t>如果未按上述规定密封和标记，采购人和采购代理机构对响应文件的误投或过早启封概不负责。</w:t>
      </w:r>
    </w:p>
    <w:p w14:paraId="0A1C8F38">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rPr>
          <w:rFonts w:hint="eastAsia"/>
        </w:rPr>
        <w:t>响应文件的</w:t>
      </w:r>
      <w:bookmarkEnd w:id="294"/>
      <w:bookmarkEnd w:id="295"/>
      <w:bookmarkEnd w:id="296"/>
      <w:bookmarkEnd w:id="297"/>
      <w:r>
        <w:rPr>
          <w:rFonts w:hint="eastAsia"/>
        </w:rPr>
        <w:t>递交</w:t>
      </w:r>
      <w:bookmarkEnd w:id="298"/>
      <w:bookmarkEnd w:id="299"/>
    </w:p>
    <w:p w14:paraId="6586C01F">
      <w:pPr>
        <w:ind w:firstLine="480" w:firstLineChars="200"/>
        <w:rPr>
          <w:rFonts w:cs="仿宋_GB2312"/>
          <w:szCs w:val="24"/>
        </w:rPr>
      </w:pPr>
      <w:r>
        <w:rPr>
          <w:rFonts w:hint="eastAsia" w:cs="仿宋_GB2312"/>
          <w:szCs w:val="24"/>
        </w:rPr>
        <w:t>1</w:t>
      </w:r>
      <w:r>
        <w:rPr>
          <w:rFonts w:hint="eastAsia" w:cs="仿宋_GB2312"/>
          <w:szCs w:val="24"/>
          <w:lang w:val="en-US" w:eastAsia="zh-CN"/>
        </w:rPr>
        <w:t>8</w:t>
      </w:r>
      <w:r>
        <w:rPr>
          <w:rFonts w:hint="eastAsia" w:cs="仿宋_GB2312"/>
          <w:szCs w:val="24"/>
        </w:rPr>
        <w:t>.1 供应商应在“供应商须知前附表”规定的响应文件递交截止时间前递交响应文件。</w:t>
      </w:r>
    </w:p>
    <w:p w14:paraId="2305565C">
      <w:pPr>
        <w:ind w:firstLine="480" w:firstLineChars="200"/>
        <w:rPr>
          <w:rFonts w:cs="仿宋_GB2312"/>
          <w:szCs w:val="24"/>
        </w:rPr>
      </w:pPr>
      <w:r>
        <w:rPr>
          <w:rFonts w:hint="eastAsia" w:cs="仿宋_GB2312"/>
          <w:szCs w:val="24"/>
        </w:rPr>
        <w:t>1</w:t>
      </w:r>
      <w:r>
        <w:rPr>
          <w:rFonts w:hint="eastAsia" w:cs="仿宋_GB2312"/>
          <w:szCs w:val="24"/>
          <w:lang w:val="en-US" w:eastAsia="zh-CN"/>
        </w:rPr>
        <w:t>8</w:t>
      </w:r>
      <w:r>
        <w:rPr>
          <w:rFonts w:hint="eastAsia" w:cs="仿宋_GB2312"/>
          <w:szCs w:val="24"/>
        </w:rPr>
        <w:t>.2 供应商递交响应文件的地点见“供应商须知前附表”。</w:t>
      </w:r>
    </w:p>
    <w:p w14:paraId="0DABF558">
      <w:pPr>
        <w:ind w:firstLine="480" w:firstLineChars="200"/>
        <w:rPr>
          <w:rFonts w:cs="仿宋_GB2312"/>
          <w:szCs w:val="24"/>
        </w:rPr>
      </w:pPr>
      <w:r>
        <w:rPr>
          <w:rFonts w:hint="eastAsia" w:cs="仿宋_GB2312"/>
          <w:szCs w:val="24"/>
        </w:rPr>
        <w:t>1</w:t>
      </w:r>
      <w:r>
        <w:rPr>
          <w:rFonts w:hint="eastAsia" w:cs="仿宋_GB2312"/>
          <w:szCs w:val="24"/>
          <w:lang w:val="en-US" w:eastAsia="zh-CN"/>
        </w:rPr>
        <w:t>8</w:t>
      </w:r>
      <w:r>
        <w:rPr>
          <w:rFonts w:hint="eastAsia" w:cs="仿宋_GB2312"/>
          <w:szCs w:val="24"/>
        </w:rPr>
        <w:t>.</w:t>
      </w:r>
      <w:r>
        <w:rPr>
          <w:rFonts w:hint="eastAsia" w:cs="仿宋_GB2312"/>
          <w:szCs w:val="24"/>
          <w:lang w:val="en-US" w:eastAsia="zh-CN"/>
        </w:rPr>
        <w:t xml:space="preserve">3 </w:t>
      </w:r>
      <w:r>
        <w:rPr>
          <w:rFonts w:hint="eastAsia" w:cs="仿宋_GB2312"/>
          <w:szCs w:val="24"/>
        </w:rPr>
        <w:t>供应商所递交的响应文件不予退还。</w:t>
      </w:r>
    </w:p>
    <w:p w14:paraId="3A0B0090">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300" w:name="_Toc155095709"/>
      <w:bookmarkStart w:id="301" w:name="_Toc156490298"/>
      <w:r>
        <w:rPr>
          <w:rFonts w:hint="eastAsia"/>
        </w:rPr>
        <w:t>拒收</w:t>
      </w:r>
      <w:bookmarkEnd w:id="300"/>
      <w:bookmarkEnd w:id="301"/>
    </w:p>
    <w:p w14:paraId="4A1243A3">
      <w:pPr>
        <w:pStyle w:val="32"/>
        <w:ind w:firstLine="480"/>
        <w:rPr>
          <w:snapToGrid w:val="0"/>
          <w:lang w:val="zh-CN"/>
        </w:rPr>
      </w:pPr>
      <w:r>
        <w:rPr>
          <w:rFonts w:hint="eastAsia"/>
          <w:snapToGrid w:val="0"/>
          <w:lang w:val="en-US" w:eastAsia="zh-CN"/>
        </w:rPr>
        <w:t>19</w:t>
      </w:r>
      <w:r>
        <w:rPr>
          <w:rFonts w:hint="eastAsia"/>
          <w:snapToGrid w:val="0"/>
          <w:lang w:val="zh-CN"/>
        </w:rPr>
        <w:t>.1超过磋商递交响应文件的</w:t>
      </w:r>
      <w:r>
        <w:rPr>
          <w:snapToGrid w:val="0"/>
          <w:lang w:val="zh-CN"/>
        </w:rPr>
        <w:t>截止时间</w:t>
      </w:r>
      <w:r>
        <w:rPr>
          <w:rFonts w:hint="eastAsia"/>
          <w:snapToGrid w:val="0"/>
          <w:lang w:val="zh-CN"/>
        </w:rPr>
        <w:t>或者不按照本章要求</w:t>
      </w:r>
      <w:r>
        <w:rPr>
          <w:rFonts w:hint="eastAsia"/>
          <w:snapToGrid w:val="0"/>
          <w:lang w:val="en-US" w:eastAsia="zh-CN"/>
        </w:rPr>
        <w:t>密封</w:t>
      </w:r>
      <w:r>
        <w:rPr>
          <w:rFonts w:hint="eastAsia"/>
          <w:snapToGrid w:val="0"/>
          <w:lang w:val="zh-CN"/>
        </w:rPr>
        <w:t>的响应文件，采购人和采购代理机构应当拒收。</w:t>
      </w:r>
    </w:p>
    <w:p w14:paraId="484639B6">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302" w:name="_Toc155095710"/>
      <w:bookmarkStart w:id="303" w:name="_Toc156490299"/>
      <w:bookmarkStart w:id="304" w:name="_Toc109899654"/>
      <w:bookmarkStart w:id="305" w:name="_Toc109900492"/>
      <w:bookmarkStart w:id="306" w:name="_Toc109897555"/>
      <w:bookmarkStart w:id="307" w:name="_Toc109900073"/>
      <w:r>
        <w:rPr>
          <w:rFonts w:hint="eastAsia"/>
        </w:rPr>
        <w:t>响应文件的修改与撤回</w:t>
      </w:r>
      <w:bookmarkEnd w:id="302"/>
      <w:bookmarkEnd w:id="303"/>
      <w:bookmarkEnd w:id="304"/>
      <w:bookmarkEnd w:id="305"/>
      <w:bookmarkEnd w:id="306"/>
      <w:bookmarkEnd w:id="307"/>
    </w:p>
    <w:p w14:paraId="1A8D149A">
      <w:pPr>
        <w:pStyle w:val="32"/>
        <w:ind w:firstLine="480"/>
        <w:rPr>
          <w:rFonts w:hint="eastAsia" w:ascii="宋体" w:hAnsi="宋体" w:eastAsia="宋体"/>
          <w:snapToGrid w:val="0"/>
          <w:lang w:val="zh-CN"/>
        </w:rPr>
      </w:pPr>
      <w:r>
        <w:rPr>
          <w:snapToGrid w:val="0"/>
          <w:lang w:val="zh-CN"/>
        </w:rPr>
        <w:t>20</w:t>
      </w:r>
      <w:r>
        <w:rPr>
          <w:rFonts w:hint="eastAsia"/>
          <w:snapToGrid w:val="0"/>
          <w:lang w:val="zh-CN"/>
        </w:rPr>
        <w:t>.1</w:t>
      </w:r>
      <w:r>
        <w:rPr>
          <w:rFonts w:hint="eastAsia" w:ascii="宋体" w:hAnsi="宋体" w:eastAsia="宋体"/>
          <w:snapToGrid w:val="0"/>
          <w:lang w:val="zh-CN"/>
        </w:rPr>
        <w:t>供应商提交响应文件后可对其响应文件进行修改和撤销，但采购代理机构须在投标截止时间之前收到该修改或撤销的书面通知，该通知须有经正式授权的供应商代表签字。</w:t>
      </w:r>
    </w:p>
    <w:p w14:paraId="1553683C">
      <w:pPr>
        <w:pStyle w:val="32"/>
        <w:ind w:firstLine="480"/>
        <w:rPr>
          <w:rFonts w:hint="eastAsia" w:ascii="宋体" w:hAnsi="宋体" w:eastAsia="宋体"/>
          <w:snapToGrid w:val="0"/>
          <w:lang w:val="en-US" w:eastAsia="zh-CN"/>
        </w:rPr>
      </w:pPr>
      <w:r>
        <w:rPr>
          <w:rFonts w:hint="eastAsia" w:ascii="宋体" w:hAnsi="宋体" w:eastAsia="宋体"/>
          <w:snapToGrid w:val="0"/>
          <w:lang w:val="en-US" w:eastAsia="zh-CN"/>
        </w:rPr>
        <w:t>20.2 供应商对响应文件修改的书面材料或撤销的通知应按规定进行编写、密封、标注和递送，并注明“修改响应文件”或“撤销磋商”字样。</w:t>
      </w:r>
    </w:p>
    <w:p w14:paraId="4AD6A305">
      <w:pPr>
        <w:pStyle w:val="32"/>
        <w:ind w:firstLine="480"/>
        <w:rPr>
          <w:rFonts w:hint="eastAsia" w:ascii="宋体" w:hAnsi="宋体" w:eastAsia="宋体"/>
          <w:snapToGrid w:val="0"/>
          <w:lang w:val="en-US" w:eastAsia="zh-CN"/>
        </w:rPr>
      </w:pPr>
      <w:r>
        <w:rPr>
          <w:rFonts w:hint="eastAsia" w:ascii="宋体" w:hAnsi="宋体" w:eastAsia="宋体"/>
          <w:snapToGrid w:val="0"/>
          <w:lang w:val="en-US" w:eastAsia="zh-CN"/>
        </w:rPr>
        <w:t>20.3 磋商递交响应文件截止时间以后不得修改响应文件。</w:t>
      </w:r>
    </w:p>
    <w:p w14:paraId="60388C8F">
      <w:pPr>
        <w:pStyle w:val="32"/>
        <w:ind w:firstLine="480"/>
        <w:rPr>
          <w:rFonts w:hint="default" w:ascii="宋体" w:hAnsi="宋体" w:eastAsia="宋体"/>
          <w:snapToGrid w:val="0"/>
          <w:lang w:val="en-US" w:eastAsia="zh-CN"/>
        </w:rPr>
      </w:pPr>
      <w:r>
        <w:rPr>
          <w:rFonts w:hint="eastAsia" w:ascii="宋体" w:hAnsi="宋体" w:eastAsia="宋体"/>
          <w:snapToGrid w:val="0"/>
          <w:lang w:val="en-US" w:eastAsia="zh-CN"/>
        </w:rPr>
        <w:t>20.4 从响应文件递交截止期至供应商在响应文件格式中确定的谈判有效期之间的这段时间内，响应供应商不得撤回其响应文件。</w:t>
      </w:r>
    </w:p>
    <w:p w14:paraId="2221036E">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308" w:name="_Toc155185973"/>
      <w:bookmarkStart w:id="309" w:name="_Toc158888664"/>
      <w:bookmarkStart w:id="310" w:name="_Toc155185874"/>
      <w:r>
        <w:rPr>
          <w:rFonts w:hint="eastAsia"/>
        </w:rPr>
        <w:t>实物样品</w:t>
      </w:r>
      <w:bookmarkEnd w:id="308"/>
      <w:bookmarkEnd w:id="309"/>
      <w:bookmarkEnd w:id="310"/>
    </w:p>
    <w:p w14:paraId="54D4B8D3">
      <w:pPr>
        <w:pStyle w:val="32"/>
        <w:ind w:firstLine="480"/>
      </w:pPr>
      <w:r>
        <w:rPr>
          <w:rFonts w:hint="eastAsia"/>
        </w:rPr>
        <w:t>2</w:t>
      </w:r>
      <w:r>
        <w:rPr>
          <w:rFonts w:hint="eastAsia"/>
          <w:lang w:val="en-US" w:eastAsia="zh-CN"/>
        </w:rPr>
        <w:t>1</w:t>
      </w:r>
      <w:r>
        <w:rPr>
          <w:rFonts w:hint="eastAsia"/>
        </w:rPr>
        <w:t>.1“供应商须知前附表”要求提供样品的，样品的具体要求及评审详见“第三章 采购需求”和“第四章 评审办法及标准”。</w:t>
      </w:r>
    </w:p>
    <w:p w14:paraId="76D40220">
      <w:pPr>
        <w:pStyle w:val="32"/>
        <w:ind w:firstLine="480"/>
      </w:pPr>
      <w:r>
        <w:rPr>
          <w:rFonts w:hint="eastAsia"/>
        </w:rPr>
        <w:t>2</w:t>
      </w:r>
      <w:r>
        <w:rPr>
          <w:rFonts w:hint="eastAsia"/>
          <w:lang w:val="en-US" w:eastAsia="zh-CN"/>
        </w:rPr>
        <w:t>1</w:t>
      </w:r>
      <w:r>
        <w:rPr>
          <w:rFonts w:hint="eastAsia"/>
        </w:rPr>
        <w:t>.2样品退还：未</w:t>
      </w:r>
      <w:r>
        <w:rPr>
          <w:rFonts w:hint="eastAsia"/>
          <w:szCs w:val="32"/>
        </w:rPr>
        <w:t>成交</w:t>
      </w:r>
      <w:r>
        <w:rPr>
          <w:rFonts w:hint="eastAsia"/>
        </w:rPr>
        <w:t>的供应商应于</w:t>
      </w:r>
      <w:r>
        <w:rPr>
          <w:rFonts w:hint="eastAsia"/>
          <w:szCs w:val="32"/>
        </w:rPr>
        <w:t>成交</w:t>
      </w:r>
      <w:r>
        <w:rPr>
          <w:rFonts w:hint="eastAsia"/>
        </w:rPr>
        <w:t>结果公告发布之日起10日内自行联系采购人取回递交样品；成交供应商的样品由采购人进行保管、封存，并作为履约验收的参考（竞争性磋商文件另有规定的从其规定）。</w:t>
      </w:r>
    </w:p>
    <w:p w14:paraId="27A53015">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311" w:name="_Toc158888665"/>
      <w:bookmarkStart w:id="312" w:name="_Toc155185974"/>
      <w:bookmarkStart w:id="313" w:name="_Toc155185875"/>
      <w:r>
        <w:rPr>
          <w:rFonts w:hint="eastAsia"/>
        </w:rPr>
        <w:t>项目演示</w:t>
      </w:r>
      <w:bookmarkEnd w:id="311"/>
      <w:bookmarkEnd w:id="312"/>
      <w:bookmarkEnd w:id="313"/>
    </w:p>
    <w:p w14:paraId="71E5D932">
      <w:pPr>
        <w:pStyle w:val="32"/>
        <w:ind w:firstLine="480"/>
      </w:pPr>
      <w:r>
        <w:rPr>
          <w:rFonts w:hint="eastAsia"/>
        </w:rPr>
        <w:t>2</w:t>
      </w:r>
      <w:r>
        <w:rPr>
          <w:rFonts w:hint="eastAsia"/>
          <w:lang w:val="en-US" w:eastAsia="zh-CN"/>
        </w:rPr>
        <w:t>2</w:t>
      </w:r>
      <w:r>
        <w:rPr>
          <w:rFonts w:hint="eastAsia"/>
        </w:rPr>
        <w:t>.1要求供应商进行演示的，演示要求详见“供应商须知前附表”。</w:t>
      </w:r>
    </w:p>
    <w:p w14:paraId="23D06D0A">
      <w:pPr>
        <w:pStyle w:val="32"/>
        <w:ind w:firstLine="480"/>
        <w:rPr>
          <w:rFonts w:hint="eastAsia"/>
        </w:rPr>
      </w:pPr>
      <w:r>
        <w:rPr>
          <w:rFonts w:hint="eastAsia"/>
        </w:rPr>
        <w:t>2</w:t>
      </w:r>
      <w:r>
        <w:rPr>
          <w:rFonts w:hint="eastAsia"/>
          <w:lang w:val="en-US" w:eastAsia="zh-CN"/>
        </w:rPr>
        <w:t>3</w:t>
      </w:r>
      <w:r>
        <w:rPr>
          <w:rFonts w:hint="eastAsia"/>
        </w:rPr>
        <w:t>.2演示的评审详见“第三章 采购需求”和“第四章 评审办法及标准”</w:t>
      </w:r>
    </w:p>
    <w:p w14:paraId="6D821587">
      <w:pPr>
        <w:pStyle w:val="32"/>
        <w:ind w:firstLine="480"/>
        <w:rPr>
          <w:rFonts w:hint="eastAsia"/>
        </w:rPr>
      </w:pPr>
    </w:p>
    <w:p w14:paraId="647413E7">
      <w:pPr>
        <w:pStyle w:val="4"/>
        <w:numPr>
          <w:ilvl w:val="0"/>
          <w:numId w:val="8"/>
        </w:numPr>
      </w:pPr>
      <w:bookmarkStart w:id="314" w:name="_Toc1858"/>
      <w:bookmarkStart w:id="315" w:name="_Toc163493615"/>
      <w:bookmarkStart w:id="316" w:name="_Toc29543"/>
      <w:bookmarkStart w:id="317" w:name="_Toc109900395"/>
      <w:bookmarkStart w:id="318" w:name="_Toc470172689"/>
      <w:bookmarkStart w:id="319" w:name="_Toc109899557"/>
      <w:bookmarkStart w:id="320" w:name="_Toc109897458"/>
      <w:bookmarkStart w:id="321" w:name="_Toc46771664"/>
      <w:bookmarkStart w:id="322" w:name="_Toc109899976"/>
      <w:r>
        <w:rPr>
          <w:rFonts w:hint="eastAsia"/>
        </w:rPr>
        <w:t>项目评审</w:t>
      </w:r>
      <w:bookmarkEnd w:id="314"/>
      <w:bookmarkEnd w:id="315"/>
      <w:bookmarkEnd w:id="316"/>
    </w:p>
    <w:p w14:paraId="425A64BF">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323" w:name="_Hlk161704700"/>
      <w:r>
        <w:t>响应文件</w:t>
      </w:r>
      <w:r>
        <w:rPr>
          <w:rFonts w:hint="eastAsia"/>
          <w:lang w:val="en-US" w:eastAsia="zh-CN"/>
        </w:rPr>
        <w:t>开启</w:t>
      </w:r>
    </w:p>
    <w:p w14:paraId="4298DE45">
      <w:pPr>
        <w:ind w:firstLine="480" w:firstLineChars="200"/>
        <w:rPr>
          <w:rFonts w:cs="仿宋_GB2312"/>
          <w:bCs/>
          <w:szCs w:val="24"/>
        </w:rPr>
      </w:pPr>
      <w:bookmarkStart w:id="324" w:name="_Toc140132781"/>
      <w:r>
        <w:rPr>
          <w:rFonts w:hint="eastAsia" w:cs="仿宋_GB2312"/>
          <w:szCs w:val="24"/>
        </w:rPr>
        <w:t>2</w:t>
      </w:r>
      <w:r>
        <w:rPr>
          <w:rFonts w:hint="eastAsia" w:cs="仿宋_GB2312"/>
          <w:szCs w:val="24"/>
          <w:lang w:val="en-US" w:eastAsia="zh-CN"/>
        </w:rPr>
        <w:t>3</w:t>
      </w:r>
      <w:r>
        <w:rPr>
          <w:rFonts w:hint="eastAsia" w:cs="仿宋_GB2312"/>
          <w:szCs w:val="24"/>
        </w:rPr>
        <w:t>.1供应商应按照“供应商须知前附表”中的要求参与</w:t>
      </w:r>
      <w:r>
        <w:rPr>
          <w:rFonts w:hint="eastAsia" w:cs="仿宋_GB2312"/>
          <w:szCs w:val="24"/>
          <w:lang w:val="en-US" w:eastAsia="zh-CN"/>
        </w:rPr>
        <w:t>开标</w:t>
      </w:r>
      <w:r>
        <w:rPr>
          <w:rFonts w:hint="eastAsia" w:cs="仿宋_GB2312"/>
          <w:szCs w:val="24"/>
        </w:rPr>
        <w:t>。</w:t>
      </w:r>
      <w:bookmarkEnd w:id="324"/>
    </w:p>
    <w:p w14:paraId="0678A716">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rPr>
          <w:color w:val="auto"/>
        </w:rPr>
      </w:pPr>
      <w:bookmarkStart w:id="325" w:name="_Toc161600316"/>
      <w:bookmarkStart w:id="326" w:name="_Toc140132782"/>
      <w:r>
        <w:rPr>
          <w:rFonts w:hint="eastAsia"/>
          <w:color w:val="auto"/>
          <w:lang w:val="en-US" w:eastAsia="zh-CN"/>
        </w:rPr>
        <w:t>开</w:t>
      </w:r>
      <w:bookmarkEnd w:id="325"/>
      <w:bookmarkEnd w:id="326"/>
      <w:r>
        <w:rPr>
          <w:rFonts w:hint="eastAsia"/>
          <w:color w:val="auto"/>
          <w:lang w:val="en-US" w:eastAsia="zh-CN"/>
        </w:rPr>
        <w:t>标程序</w:t>
      </w:r>
    </w:p>
    <w:p w14:paraId="48642CB6">
      <w:pPr>
        <w:ind w:firstLine="480" w:firstLineChars="200"/>
        <w:rPr>
          <w:rFonts w:cs="仿宋_GB2312"/>
          <w:color w:val="auto"/>
          <w:szCs w:val="24"/>
        </w:rPr>
      </w:pPr>
      <w:r>
        <w:rPr>
          <w:rFonts w:hint="eastAsia" w:cs="仿宋_GB2312"/>
          <w:color w:val="auto"/>
          <w:szCs w:val="24"/>
        </w:rPr>
        <w:t>2</w:t>
      </w:r>
      <w:r>
        <w:rPr>
          <w:rFonts w:hint="eastAsia" w:cs="仿宋_GB2312"/>
          <w:color w:val="auto"/>
          <w:szCs w:val="24"/>
          <w:lang w:val="en-US" w:eastAsia="zh-CN"/>
        </w:rPr>
        <w:t>4</w:t>
      </w:r>
      <w:r>
        <w:rPr>
          <w:rFonts w:hint="eastAsia" w:cs="仿宋_GB2312"/>
          <w:color w:val="auto"/>
          <w:szCs w:val="24"/>
        </w:rPr>
        <w:t>.1</w:t>
      </w:r>
      <w:r>
        <w:rPr>
          <w:rFonts w:hint="eastAsia" w:cs="仿宋_GB2312"/>
          <w:color w:val="auto"/>
          <w:szCs w:val="24"/>
          <w:lang w:val="en-US" w:eastAsia="zh-CN"/>
        </w:rPr>
        <w:t xml:space="preserve"> </w:t>
      </w:r>
      <w:r>
        <w:rPr>
          <w:rFonts w:hint="eastAsia" w:cs="仿宋_GB2312"/>
          <w:color w:val="auto"/>
          <w:szCs w:val="24"/>
        </w:rPr>
        <w:t>开标由采购代理机构主持</w:t>
      </w:r>
    </w:p>
    <w:p w14:paraId="2F6B9A40">
      <w:pPr>
        <w:pStyle w:val="32"/>
        <w:ind w:firstLine="480"/>
        <w:rPr>
          <w:color w:val="auto"/>
        </w:rPr>
      </w:pPr>
      <w:r>
        <w:rPr>
          <w:rFonts w:hint="eastAsia"/>
          <w:color w:val="auto"/>
        </w:rPr>
        <w:t>2</w:t>
      </w:r>
      <w:r>
        <w:rPr>
          <w:rFonts w:hint="eastAsia"/>
          <w:color w:val="auto"/>
          <w:lang w:val="en-US" w:eastAsia="zh-CN"/>
        </w:rPr>
        <w:t>4</w:t>
      </w:r>
      <w:r>
        <w:rPr>
          <w:color w:val="auto"/>
        </w:rPr>
        <w:t>.2</w:t>
      </w:r>
      <w:r>
        <w:rPr>
          <w:rFonts w:hint="eastAsia"/>
          <w:color w:val="auto"/>
          <w:lang w:val="en-US" w:eastAsia="zh-CN"/>
        </w:rPr>
        <w:t xml:space="preserve"> </w:t>
      </w:r>
      <w:r>
        <w:rPr>
          <w:rFonts w:hint="eastAsia"/>
          <w:color w:val="auto"/>
        </w:rPr>
        <w:t>由供应商或其推选的代表检查响应文件的密封情况，由采购人和采购代理机构检查各供应商法定代表人授权委托书与有效身份证件原件</w:t>
      </w:r>
      <w:r>
        <w:rPr>
          <w:color w:val="auto"/>
        </w:rPr>
        <w:t>。</w:t>
      </w:r>
    </w:p>
    <w:p w14:paraId="2021FE3E">
      <w:pPr>
        <w:pStyle w:val="32"/>
        <w:ind w:firstLine="480"/>
      </w:pPr>
      <w:r>
        <w:t>2</w:t>
      </w:r>
      <w:r>
        <w:rPr>
          <w:rFonts w:hint="eastAsia"/>
          <w:lang w:val="en-US" w:eastAsia="zh-CN"/>
        </w:rPr>
        <w:t>4</w:t>
      </w:r>
      <w:r>
        <w:t>.</w:t>
      </w:r>
      <w:r>
        <w:rPr>
          <w:rFonts w:hint="eastAsia"/>
          <w:lang w:val="en-US" w:eastAsia="zh-CN"/>
        </w:rPr>
        <w:t xml:space="preserve">3 </w:t>
      </w:r>
      <w:r>
        <w:t>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04E0EB99">
      <w:pPr>
        <w:pStyle w:val="32"/>
        <w:ind w:firstLine="480"/>
        <w:rPr>
          <w:rFonts w:hint="default" w:eastAsia="宋体"/>
          <w:lang w:val="en-US" w:eastAsia="zh-CN"/>
        </w:rPr>
      </w:pPr>
      <w:r>
        <w:rPr>
          <w:rFonts w:hint="eastAsia"/>
          <w:lang w:val="en-US" w:eastAsia="zh-CN"/>
        </w:rPr>
        <w:t>24.4 采购人对开标过程进行记录，并存档备查。开标结束后，供应商法人代表或其委托代理人应进行签字确认。</w:t>
      </w:r>
    </w:p>
    <w:bookmarkEnd w:id="323"/>
    <w:p w14:paraId="388F2EF5">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t>评审方法、程序及标准</w:t>
      </w:r>
    </w:p>
    <w:bookmarkEnd w:id="317"/>
    <w:bookmarkEnd w:id="318"/>
    <w:bookmarkEnd w:id="319"/>
    <w:bookmarkEnd w:id="320"/>
    <w:bookmarkEnd w:id="321"/>
    <w:bookmarkEnd w:id="322"/>
    <w:p w14:paraId="64B2EEC4">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w:t>
      </w:r>
      <w:r>
        <w:rPr>
          <w:rFonts w:hint="eastAsia" w:cs="仿宋_GB2312"/>
          <w:snapToGrid w:val="0"/>
          <w:lang w:val="en-US" w:eastAsia="zh-CN"/>
        </w:rPr>
        <w:t>5</w:t>
      </w:r>
      <w:r>
        <w:rPr>
          <w:rFonts w:cs="仿宋_GB2312"/>
          <w:snapToGrid w:val="0"/>
          <w:lang w:val="zh-CN"/>
        </w:rPr>
        <w:t>.1</w:t>
      </w:r>
      <w:r>
        <w:rPr>
          <w:rFonts w:hint="eastAsia" w:cs="仿宋_GB2312"/>
          <w:snapToGrid w:val="0"/>
          <w:lang w:val="en-US" w:eastAsia="zh-CN"/>
        </w:rPr>
        <w:t xml:space="preserve"> </w:t>
      </w:r>
      <w:r>
        <w:rPr>
          <w:rFonts w:cs="仿宋_GB2312"/>
          <w:snapToGrid w:val="0"/>
          <w:lang w:val="zh-CN"/>
        </w:rPr>
        <w:t>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6B7E06A5">
      <w:pPr>
        <w:tabs>
          <w:tab w:val="left" w:pos="426"/>
        </w:tabs>
        <w:autoSpaceDE w:val="0"/>
        <w:autoSpaceDN w:val="0"/>
        <w:adjustRightInd w:val="0"/>
        <w:snapToGrid w:val="0"/>
        <w:ind w:firstLine="480" w:firstLineChars="200"/>
        <w:rPr>
          <w:rFonts w:cs="仿宋_GB2312"/>
          <w:snapToGrid w:val="0"/>
          <w:lang w:val="zh-CN"/>
        </w:rPr>
      </w:pPr>
    </w:p>
    <w:p w14:paraId="7B52E74F">
      <w:pPr>
        <w:pStyle w:val="4"/>
        <w:numPr>
          <w:ilvl w:val="0"/>
          <w:numId w:val="8"/>
        </w:numPr>
      </w:pPr>
      <w:bookmarkStart w:id="327" w:name="_Toc109897464"/>
      <w:bookmarkStart w:id="328" w:name="_Toc46771670"/>
      <w:bookmarkStart w:id="329" w:name="_Toc109899982"/>
      <w:bookmarkStart w:id="330" w:name="_Toc163493616"/>
      <w:bookmarkStart w:id="331" w:name="_Toc109900401"/>
      <w:bookmarkStart w:id="332" w:name="_Toc19905"/>
      <w:bookmarkStart w:id="333" w:name="_Toc470172692"/>
      <w:bookmarkStart w:id="334" w:name="_Toc109899563"/>
      <w:bookmarkStart w:id="335" w:name="_Toc19257"/>
      <w:r>
        <w:rPr>
          <w:rFonts w:hint="eastAsia"/>
        </w:rPr>
        <w:t>成交</w:t>
      </w:r>
      <w:bookmarkEnd w:id="327"/>
      <w:bookmarkEnd w:id="328"/>
      <w:bookmarkEnd w:id="329"/>
      <w:bookmarkEnd w:id="330"/>
      <w:bookmarkEnd w:id="331"/>
      <w:bookmarkEnd w:id="332"/>
      <w:bookmarkEnd w:id="333"/>
      <w:bookmarkEnd w:id="334"/>
      <w:bookmarkEnd w:id="335"/>
    </w:p>
    <w:p w14:paraId="5FA7FE4E">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336" w:name="_Toc46772272"/>
      <w:bookmarkStart w:id="337" w:name="_Toc109897465"/>
      <w:bookmarkStart w:id="338" w:name="_Toc109899983"/>
      <w:bookmarkStart w:id="339" w:name="_Toc109900402"/>
      <w:bookmarkStart w:id="340" w:name="_Toc52962758"/>
      <w:bookmarkStart w:id="341" w:name="_Toc48688820"/>
      <w:bookmarkStart w:id="342" w:name="_Toc52960584"/>
      <w:bookmarkStart w:id="343" w:name="_Toc48846140"/>
      <w:bookmarkStart w:id="344" w:name="_Toc51674242"/>
      <w:bookmarkStart w:id="345" w:name="_Toc109899564"/>
      <w:bookmarkStart w:id="346" w:name="_Toc46771671"/>
      <w:bookmarkStart w:id="347" w:name="_Hlk143533953"/>
      <w:r>
        <w:rPr>
          <w:rFonts w:hint="eastAsia"/>
        </w:rPr>
        <w:t>确定成交供应商</w:t>
      </w:r>
      <w:bookmarkEnd w:id="336"/>
      <w:bookmarkEnd w:id="337"/>
      <w:bookmarkEnd w:id="338"/>
      <w:bookmarkEnd w:id="339"/>
      <w:bookmarkEnd w:id="340"/>
      <w:bookmarkEnd w:id="341"/>
      <w:bookmarkEnd w:id="342"/>
      <w:bookmarkEnd w:id="343"/>
      <w:bookmarkEnd w:id="344"/>
      <w:bookmarkEnd w:id="345"/>
      <w:bookmarkEnd w:id="346"/>
    </w:p>
    <w:p w14:paraId="3E7776BB">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hint="eastAsia" w:cs="仿宋_GB2312"/>
          <w:snapToGrid w:val="0"/>
          <w:lang w:val="en-US" w:eastAsia="zh-CN"/>
        </w:rPr>
        <w:t>6</w:t>
      </w:r>
      <w:r>
        <w:rPr>
          <w:rFonts w:hint="eastAsia" w:cs="仿宋_GB2312"/>
          <w:snapToGrid w:val="0"/>
          <w:lang w:val="zh-CN"/>
        </w:rPr>
        <w:t>.1</w:t>
      </w:r>
      <w:r>
        <w:rPr>
          <w:rFonts w:hint="eastAsia" w:cs="仿宋_GB2312"/>
          <w:snapToGrid w:val="0"/>
          <w:lang w:val="en-US" w:eastAsia="zh-CN"/>
        </w:rPr>
        <w:t xml:space="preserve"> </w:t>
      </w:r>
      <w:r>
        <w:rPr>
          <w:rFonts w:hint="eastAsia"/>
          <w:snapToGrid w:val="0"/>
          <w:lang w:val="zh-CN"/>
        </w:rPr>
        <w:t>确定成交供应商详见”供应商须知前附表”。</w:t>
      </w:r>
    </w:p>
    <w:p w14:paraId="5A1CC47F">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rPr>
          <w:rFonts w:hint="eastAsia"/>
        </w:rPr>
        <w:t>成交结果公告</w:t>
      </w:r>
    </w:p>
    <w:p w14:paraId="2E3FA490">
      <w:pPr>
        <w:pStyle w:val="32"/>
        <w:ind w:firstLine="480"/>
        <w:rPr>
          <w:lang w:bidi="ar"/>
        </w:rPr>
      </w:pPr>
      <w:r>
        <w:rPr>
          <w:rFonts w:cs="仿宋_GB2312"/>
          <w:snapToGrid w:val="0"/>
          <w:lang w:val="zh-CN"/>
        </w:rPr>
        <w:t>2</w:t>
      </w:r>
      <w:r>
        <w:rPr>
          <w:rFonts w:hint="eastAsia" w:cs="仿宋_GB2312"/>
          <w:snapToGrid w:val="0"/>
          <w:lang w:val="en-US" w:eastAsia="zh-CN"/>
        </w:rPr>
        <w:t>7</w:t>
      </w:r>
      <w:r>
        <w:rPr>
          <w:rFonts w:hint="eastAsia" w:cs="仿宋_GB2312"/>
          <w:snapToGrid w:val="0"/>
          <w:lang w:val="zh-CN"/>
        </w:rPr>
        <w:t>.</w:t>
      </w:r>
      <w:r>
        <w:rPr>
          <w:rFonts w:cs="仿宋_GB2312"/>
          <w:snapToGrid w:val="0"/>
          <w:lang w:val="zh-CN"/>
        </w:rPr>
        <w:t>1</w:t>
      </w:r>
      <w:r>
        <w:rPr>
          <w:rFonts w:hint="eastAsia" w:cs="仿宋_GB2312"/>
          <w:snapToGrid w:val="0"/>
          <w:lang w:val="en-US" w:eastAsia="zh-CN"/>
        </w:rPr>
        <w:t xml:space="preserve"> </w:t>
      </w:r>
      <w:r>
        <w:rPr>
          <w:lang w:bidi="ar"/>
        </w:rPr>
        <w:t>采购人或者采购代理机构应当在成交供应商确定后2个工作日内，在</w:t>
      </w:r>
      <w:r>
        <w:rPr>
          <w:rFonts w:hint="eastAsia"/>
          <w:lang w:eastAsia="zh-CN" w:bidi="ar"/>
        </w:rPr>
        <w:t>《</w:t>
      </w:r>
      <w:r>
        <w:rPr>
          <w:rFonts w:hint="eastAsia"/>
          <w:lang w:bidi="ar"/>
        </w:rPr>
        <w:t>潜江市鲲展工程项目管理有限公司</w:t>
      </w:r>
      <w:r>
        <w:rPr>
          <w:rFonts w:hint="eastAsia"/>
          <w:lang w:eastAsia="zh-CN" w:bidi="ar"/>
        </w:rPr>
        <w:t>》</w:t>
      </w:r>
      <w:r>
        <w:rPr>
          <w:rFonts w:hint="eastAsia"/>
          <w:lang w:val="en-US" w:eastAsia="zh-CN" w:bidi="ar"/>
        </w:rPr>
        <w:t>官网</w:t>
      </w:r>
      <w:r>
        <w:rPr>
          <w:lang w:bidi="ar"/>
        </w:rPr>
        <w:t>上公告成交结果。</w:t>
      </w:r>
    </w:p>
    <w:p w14:paraId="23A80A32">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rPr>
          <w:rFonts w:hint="eastAsia"/>
        </w:rPr>
        <w:t>成交通知书</w:t>
      </w:r>
    </w:p>
    <w:p w14:paraId="1A4A95C2">
      <w:pPr>
        <w:pStyle w:val="32"/>
        <w:ind w:firstLine="480"/>
        <w:rPr>
          <w:rFonts w:hint="eastAsia" w:cs="仿宋_GB2312"/>
          <w:snapToGrid w:val="0"/>
          <w:lang w:val="zh-CN"/>
        </w:rPr>
      </w:pPr>
      <w:r>
        <w:rPr>
          <w:rFonts w:cs="仿宋_GB2312"/>
          <w:snapToGrid w:val="0"/>
          <w:lang w:val="zh-CN"/>
        </w:rPr>
        <w:t>2</w:t>
      </w:r>
      <w:r>
        <w:rPr>
          <w:rFonts w:hint="eastAsia" w:cs="仿宋_GB2312"/>
          <w:snapToGrid w:val="0"/>
          <w:lang w:val="en-US" w:eastAsia="zh-CN"/>
        </w:rPr>
        <w:t>8</w:t>
      </w:r>
      <w:r>
        <w:rPr>
          <w:rFonts w:cs="仿宋_GB2312"/>
          <w:snapToGrid w:val="0"/>
          <w:lang w:val="zh-CN"/>
        </w:rPr>
        <w:t>.1</w:t>
      </w:r>
      <w:r>
        <w:rPr>
          <w:rFonts w:hint="eastAsia" w:cs="仿宋_GB2312"/>
          <w:snapToGrid w:val="0"/>
          <w:lang w:val="zh-CN"/>
        </w:rPr>
        <w:t>发布成交结果公告同时向成交供应商发出成交通知书。成交通知书是合同的组成部分,对成交供应商和采购人具有同等法律效力。</w:t>
      </w:r>
    </w:p>
    <w:p w14:paraId="33B7AE61">
      <w:pPr>
        <w:pStyle w:val="32"/>
        <w:ind w:firstLine="480"/>
        <w:rPr>
          <w:rFonts w:hint="eastAsia" w:cs="仿宋_GB2312"/>
          <w:snapToGrid w:val="0"/>
          <w:lang w:val="zh-CN"/>
        </w:rPr>
      </w:pPr>
    </w:p>
    <w:p w14:paraId="35466D0D">
      <w:pPr>
        <w:pStyle w:val="4"/>
        <w:numPr>
          <w:ilvl w:val="0"/>
          <w:numId w:val="8"/>
        </w:numPr>
      </w:pPr>
      <w:bookmarkStart w:id="348" w:name="_Toc163493617"/>
      <w:bookmarkStart w:id="349" w:name="_Toc27004"/>
      <w:bookmarkStart w:id="350" w:name="_Toc25926"/>
      <w:r>
        <w:rPr>
          <w:rFonts w:hint="eastAsia"/>
        </w:rPr>
        <w:t>签订合同</w:t>
      </w:r>
      <w:bookmarkEnd w:id="348"/>
      <w:bookmarkEnd w:id="349"/>
      <w:bookmarkEnd w:id="350"/>
    </w:p>
    <w:p w14:paraId="0B20BAC4">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rPr>
          <w:strike w:val="0"/>
          <w:color w:val="FF0000"/>
        </w:rPr>
      </w:pPr>
      <w:bookmarkStart w:id="351" w:name="_Toc52960585"/>
      <w:bookmarkStart w:id="352" w:name="_Toc109897466"/>
      <w:bookmarkStart w:id="353" w:name="_Toc109899984"/>
      <w:bookmarkStart w:id="354" w:name="_Toc48688821"/>
      <w:bookmarkStart w:id="355" w:name="_Toc48846141"/>
      <w:bookmarkStart w:id="356" w:name="_Toc46772273"/>
      <w:bookmarkStart w:id="357" w:name="_Toc109900403"/>
      <w:bookmarkStart w:id="358" w:name="_Toc109899565"/>
      <w:bookmarkStart w:id="359" w:name="_Toc52962759"/>
      <w:bookmarkStart w:id="360" w:name="_Toc46771672"/>
      <w:bookmarkStart w:id="361" w:name="_Toc51674243"/>
      <w:r>
        <w:rPr>
          <w:rFonts w:hint="eastAsia"/>
          <w:strike w:val="0"/>
          <w:dstrike w:val="0"/>
          <w:color w:val="auto"/>
        </w:rPr>
        <w:t>履约保证金</w:t>
      </w:r>
    </w:p>
    <w:p w14:paraId="5FE031C8">
      <w:pPr>
        <w:pStyle w:val="32"/>
        <w:ind w:firstLine="480"/>
        <w:rPr>
          <w:rFonts w:hint="default" w:eastAsia="宋体"/>
          <w:snapToGrid w:val="0"/>
          <w:lang w:val="en-US" w:eastAsia="zh-CN"/>
        </w:rPr>
      </w:pPr>
      <w:r>
        <w:rPr>
          <w:rFonts w:hint="eastAsia"/>
          <w:snapToGrid w:val="0"/>
          <w:lang w:val="en-US" w:eastAsia="zh-CN"/>
        </w:rPr>
        <w:t>29</w:t>
      </w:r>
      <w:r>
        <w:rPr>
          <w:rFonts w:hint="eastAsia"/>
          <w:snapToGrid w:val="0"/>
          <w:color w:val="auto"/>
          <w:lang w:val="zh-CN"/>
        </w:rPr>
        <w:t>.1</w:t>
      </w:r>
      <w:r>
        <w:rPr>
          <w:rFonts w:hint="eastAsia"/>
          <w:snapToGrid w:val="0"/>
          <w:color w:val="auto"/>
          <w:lang w:val="en-US" w:eastAsia="zh-CN"/>
        </w:rPr>
        <w:t xml:space="preserve"> 成交供应商在签订合同前需提交合同总金额10%的履约保证金至采购人账户。</w:t>
      </w:r>
    </w:p>
    <w:p w14:paraId="4CF488E5">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rPr>
          <w:rFonts w:hint="eastAsia"/>
        </w:rPr>
        <w:t>签订合同</w:t>
      </w:r>
      <w:bookmarkEnd w:id="351"/>
      <w:bookmarkEnd w:id="352"/>
      <w:bookmarkEnd w:id="353"/>
      <w:bookmarkEnd w:id="354"/>
      <w:bookmarkEnd w:id="355"/>
      <w:bookmarkEnd w:id="356"/>
      <w:bookmarkEnd w:id="357"/>
      <w:bookmarkEnd w:id="358"/>
      <w:bookmarkEnd w:id="359"/>
      <w:bookmarkEnd w:id="360"/>
      <w:bookmarkEnd w:id="361"/>
    </w:p>
    <w:p w14:paraId="31179E23">
      <w:pPr>
        <w:pStyle w:val="32"/>
        <w:ind w:firstLine="480"/>
      </w:pPr>
      <w:r>
        <w:rPr>
          <w:rFonts w:hint="eastAsia"/>
          <w:snapToGrid w:val="0"/>
          <w:lang w:val="en-US" w:eastAsia="zh-CN"/>
        </w:rPr>
        <w:t>30</w:t>
      </w:r>
      <w:r>
        <w:rPr>
          <w:snapToGrid w:val="0"/>
          <w:lang w:val="zh-CN"/>
        </w:rPr>
        <w:t>.1</w:t>
      </w:r>
      <w:r>
        <w:rPr>
          <w:rFonts w:hint="eastAsia"/>
          <w:snapToGrid w:val="0"/>
          <w:lang w:val="zh-CN"/>
        </w:rPr>
        <w:t>采购人与成交供应商应当在成交通知书发出之日起30日内，按照磋商文件确定的合同文本以及采购标的、规格型号、采购金额、采购数量、技术和服务要求等事项签订政府采购合同。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2EDC3F98">
      <w:pPr>
        <w:pStyle w:val="32"/>
        <w:ind w:firstLine="480"/>
        <w:rPr>
          <w:lang w:val="zh-CN"/>
        </w:rPr>
      </w:pPr>
      <w:r>
        <w:rPr>
          <w:rFonts w:hint="eastAsia"/>
          <w:lang w:val="en-US" w:eastAsia="zh-CN"/>
        </w:rPr>
        <w:t>30</w:t>
      </w:r>
      <w:r>
        <w:t>.2</w:t>
      </w:r>
      <w:r>
        <w:rPr>
          <w:rFonts w:hint="eastAsia"/>
          <w:lang w:val="zh-CN"/>
        </w:rPr>
        <w:t>成交供应商拒绝签订政府采购合同的，采购人可以《政府采购竞争性磋商采购方式管理暂行办法》（财库[2014]214号）第二十八条第二款规定的确定其他供应商作为成交供应商并签订政府采购合同，也可以重新开展采购活动。拒绝签订政府采购合同的成交供应商不得参加对该项目重新开展的采购活动。</w:t>
      </w:r>
    </w:p>
    <w:p w14:paraId="2C481406">
      <w:pPr>
        <w:pStyle w:val="32"/>
        <w:ind w:firstLine="480"/>
      </w:pPr>
      <w:r>
        <w:rPr>
          <w:rFonts w:hint="eastAsia"/>
          <w:bCs/>
          <w:lang w:val="en-US" w:eastAsia="zh-CN"/>
        </w:rPr>
        <w:t>30</w:t>
      </w:r>
      <w:r>
        <w:rPr>
          <w:bCs/>
        </w:rPr>
        <w:t>.3</w:t>
      </w:r>
      <w:r>
        <w:rPr>
          <w:rFonts w:hint="eastAsia"/>
        </w:rPr>
        <w:t>采购人和供应商不得向对方提出任何不合理的要求，作为签订合同的条件，双方不得私下订立背离合同实质性内容的协议。</w:t>
      </w:r>
    </w:p>
    <w:p w14:paraId="4B039960">
      <w:pPr>
        <w:pStyle w:val="32"/>
        <w:ind w:firstLine="480"/>
        <w:rPr>
          <w:rFonts w:hint="eastAsia"/>
        </w:rPr>
      </w:pPr>
      <w:r>
        <w:rPr>
          <w:rFonts w:hint="eastAsia"/>
          <w:bCs/>
          <w:lang w:val="en-US" w:eastAsia="zh-CN"/>
        </w:rPr>
        <w:t>30</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4B4A66E2">
      <w:pPr>
        <w:pStyle w:val="32"/>
        <w:ind w:firstLine="480"/>
        <w:rPr>
          <w:rFonts w:hint="eastAsia"/>
        </w:rPr>
      </w:pPr>
    </w:p>
    <w:bookmarkEnd w:id="347"/>
    <w:p w14:paraId="6B8E705D">
      <w:pPr>
        <w:pStyle w:val="4"/>
        <w:numPr>
          <w:ilvl w:val="0"/>
          <w:numId w:val="8"/>
        </w:numPr>
      </w:pPr>
      <w:bookmarkStart w:id="362" w:name="_Toc163493618"/>
      <w:bookmarkStart w:id="363" w:name="_Toc109900404"/>
      <w:bookmarkStart w:id="364" w:name="_Toc46771673"/>
      <w:bookmarkStart w:id="365" w:name="_Toc31746"/>
      <w:bookmarkStart w:id="366" w:name="_Toc109899566"/>
      <w:bookmarkStart w:id="367" w:name="_Toc31126"/>
      <w:bookmarkStart w:id="368" w:name="_Toc109899985"/>
      <w:bookmarkStart w:id="369" w:name="_Toc109897467"/>
      <w:bookmarkStart w:id="370" w:name="_Toc470172693"/>
      <w:r>
        <w:rPr>
          <w:rFonts w:hint="eastAsia"/>
        </w:rPr>
        <w:t>质疑和投诉</w:t>
      </w:r>
      <w:bookmarkEnd w:id="362"/>
      <w:bookmarkEnd w:id="363"/>
      <w:bookmarkEnd w:id="364"/>
      <w:bookmarkEnd w:id="365"/>
      <w:bookmarkEnd w:id="366"/>
      <w:bookmarkEnd w:id="367"/>
      <w:bookmarkEnd w:id="368"/>
      <w:bookmarkEnd w:id="369"/>
    </w:p>
    <w:p w14:paraId="466E7AFB">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371" w:name="_Toc51674245"/>
      <w:bookmarkStart w:id="372" w:name="_Toc52962761"/>
      <w:bookmarkStart w:id="373" w:name="_Toc46771674"/>
      <w:bookmarkStart w:id="374" w:name="_Toc52960587"/>
      <w:bookmarkStart w:id="375" w:name="_Toc46772275"/>
      <w:bookmarkStart w:id="376" w:name="_Toc109897468"/>
      <w:bookmarkStart w:id="377" w:name="_Toc109899986"/>
      <w:bookmarkStart w:id="378" w:name="_Toc109900405"/>
      <w:bookmarkStart w:id="379" w:name="_Toc48688823"/>
      <w:bookmarkStart w:id="380" w:name="_Toc48846143"/>
      <w:bookmarkStart w:id="381" w:name="_Toc109899567"/>
      <w:r>
        <w:rPr>
          <w:rFonts w:hint="eastAsia"/>
        </w:rPr>
        <w:t>质疑</w:t>
      </w:r>
      <w:bookmarkEnd w:id="371"/>
      <w:bookmarkEnd w:id="372"/>
      <w:bookmarkEnd w:id="373"/>
      <w:bookmarkEnd w:id="374"/>
      <w:bookmarkEnd w:id="375"/>
      <w:bookmarkEnd w:id="376"/>
      <w:bookmarkEnd w:id="377"/>
      <w:bookmarkEnd w:id="378"/>
      <w:bookmarkEnd w:id="379"/>
      <w:bookmarkEnd w:id="380"/>
      <w:bookmarkEnd w:id="381"/>
    </w:p>
    <w:p w14:paraId="785F9C3A">
      <w:pPr>
        <w:pStyle w:val="32"/>
        <w:ind w:firstLine="480"/>
        <w:rPr>
          <w:snapToGrid w:val="0"/>
          <w:lang w:val="zh-CN"/>
        </w:rPr>
      </w:pPr>
      <w:r>
        <w:rPr>
          <w:rFonts w:hint="eastAsia"/>
          <w:snapToGrid w:val="0"/>
          <w:lang w:val="en-US" w:eastAsia="zh-CN"/>
        </w:rPr>
        <w:t>31</w:t>
      </w:r>
      <w:r>
        <w:rPr>
          <w:rFonts w:hint="eastAsia"/>
          <w:snapToGrid w:val="0"/>
          <w:lang w:val="zh-CN"/>
        </w:rPr>
        <w:t>.1供应商认为磋商文件、磋商过程和成交结果使自己的权益受到损害的，</w:t>
      </w:r>
      <w:r>
        <w:rPr>
          <w:rFonts w:hint="eastAsia"/>
        </w:rPr>
        <w:t>可以在知道或者应知其权益受到损害之日起7个工作日内</w:t>
      </w:r>
      <w:bookmarkStart w:id="382" w:name="_Hlk143534740"/>
      <w:r>
        <w:rPr>
          <w:rFonts w:hint="eastAsia"/>
        </w:rPr>
        <w:t>，向采购人或采购代理机构提出质疑</w:t>
      </w:r>
      <w:bookmarkEnd w:id="382"/>
      <w:r>
        <w:rPr>
          <w:rFonts w:hint="eastAsia"/>
        </w:rPr>
        <w:t>。质疑函</w:t>
      </w:r>
      <w:r>
        <w:rPr>
          <w:rFonts w:hint="eastAsia"/>
          <w:color w:val="FF0000"/>
          <w:lang w:val="en-US" w:eastAsia="zh-CN"/>
        </w:rPr>
        <w:t>应</w:t>
      </w:r>
      <w:r>
        <w:rPr>
          <w:rFonts w:hint="eastAsia"/>
          <w:color w:val="FF0000"/>
        </w:rPr>
        <w:t>在潜江市鲲展工程项目管理有限公司（潜江市园林街道办事处章华南路10号）现场提交</w:t>
      </w:r>
      <w:r>
        <w:rPr>
          <w:rFonts w:hint="eastAsia"/>
        </w:rPr>
        <w:t>。</w:t>
      </w:r>
    </w:p>
    <w:p w14:paraId="6FE3C636">
      <w:pPr>
        <w:pStyle w:val="32"/>
        <w:ind w:firstLine="480"/>
        <w:rPr>
          <w:snapToGrid w:val="0"/>
          <w:lang w:val="zh-CN"/>
        </w:rPr>
      </w:pPr>
      <w:r>
        <w:rPr>
          <w:snapToGrid w:val="0"/>
        </w:rPr>
        <w:t>3</w:t>
      </w:r>
      <w:r>
        <w:rPr>
          <w:rFonts w:hint="eastAsia"/>
          <w:snapToGrid w:val="0"/>
          <w:lang w:val="en-US" w:eastAsia="zh-CN"/>
        </w:rPr>
        <w:t>1</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611A6FD9">
      <w:pPr>
        <w:pStyle w:val="32"/>
        <w:ind w:firstLine="480"/>
      </w:pPr>
      <w:r>
        <w:rPr>
          <w:rFonts w:hint="eastAsia"/>
        </w:rPr>
        <w:t>（1）质疑人的姓名或者名称、地址、邮编、联系人及联系电话；</w:t>
      </w:r>
    </w:p>
    <w:p w14:paraId="05823811">
      <w:pPr>
        <w:pStyle w:val="32"/>
        <w:ind w:firstLine="480"/>
      </w:pPr>
      <w:r>
        <w:rPr>
          <w:rFonts w:hint="eastAsia"/>
        </w:rPr>
        <w:t>（2）质疑项目的名称、编号；</w:t>
      </w:r>
    </w:p>
    <w:p w14:paraId="1B07B555">
      <w:pPr>
        <w:pStyle w:val="32"/>
        <w:ind w:firstLine="480"/>
      </w:pPr>
      <w:r>
        <w:rPr>
          <w:rFonts w:hint="eastAsia"/>
        </w:rPr>
        <w:t>（3）具体、明确的质疑事项和与质疑事项相关的请求；</w:t>
      </w:r>
    </w:p>
    <w:p w14:paraId="646D63A5">
      <w:pPr>
        <w:pStyle w:val="32"/>
        <w:ind w:firstLine="480"/>
      </w:pPr>
      <w:r>
        <w:rPr>
          <w:rFonts w:hint="eastAsia"/>
        </w:rPr>
        <w:t>（4）事实依据；</w:t>
      </w:r>
    </w:p>
    <w:p w14:paraId="4D96C2CF">
      <w:pPr>
        <w:pStyle w:val="32"/>
        <w:ind w:firstLine="480"/>
      </w:pPr>
      <w:r>
        <w:rPr>
          <w:rFonts w:hint="eastAsia"/>
        </w:rPr>
        <w:t>（5）必要的法律依据；</w:t>
      </w:r>
    </w:p>
    <w:p w14:paraId="46A65C98">
      <w:pPr>
        <w:pStyle w:val="32"/>
        <w:ind w:firstLine="480"/>
      </w:pPr>
      <w:r>
        <w:rPr>
          <w:rFonts w:hint="eastAsia"/>
        </w:rPr>
        <w:t>（6）提出质疑的日期。</w:t>
      </w:r>
    </w:p>
    <w:p w14:paraId="784668EC">
      <w:pPr>
        <w:pStyle w:val="32"/>
        <w:ind w:firstLine="480"/>
      </w:pPr>
      <w:r>
        <w:t>3</w:t>
      </w:r>
      <w:r>
        <w:rPr>
          <w:rFonts w:hint="eastAsia"/>
          <w:lang w:val="en-US" w:eastAsia="zh-CN"/>
        </w:rPr>
        <w:t>1</w:t>
      </w:r>
      <w:r>
        <w:rPr>
          <w:rFonts w:hint="eastAsia"/>
        </w:rPr>
        <w:t>.3</w:t>
      </w:r>
      <w:r>
        <w:rPr>
          <w:rFonts w:hint="eastAsia"/>
          <w:lang w:val="en-US" w:eastAsia="zh-CN"/>
        </w:rPr>
        <w:t xml:space="preserve"> </w:t>
      </w:r>
      <w:r>
        <w:rPr>
          <w:rFonts w:hint="eastAsia"/>
        </w:rPr>
        <w:t>质疑人为自然人的，应当由本人签字；质疑人为法人或者其他组织的，应当由法定代表人、主要负责人，或者其授权代表签字或者盖章，并加盖公章。</w:t>
      </w:r>
    </w:p>
    <w:p w14:paraId="4FC9EC94">
      <w:pPr>
        <w:pStyle w:val="32"/>
        <w:ind w:firstLine="480"/>
      </w:pPr>
      <w:r>
        <w:t>3</w:t>
      </w:r>
      <w:r>
        <w:rPr>
          <w:rFonts w:hint="eastAsia"/>
          <w:lang w:val="en-US" w:eastAsia="zh-CN"/>
        </w:rPr>
        <w:t>1</w:t>
      </w:r>
      <w:r>
        <w:rPr>
          <w:rFonts w:hint="eastAsia"/>
        </w:rPr>
        <w:t>.</w:t>
      </w:r>
      <w:r>
        <w:rPr>
          <w:rFonts w:hint="eastAsia"/>
          <w:lang w:val="en-US" w:eastAsia="zh-CN"/>
        </w:rPr>
        <w:t xml:space="preserve">4 </w:t>
      </w:r>
      <w:r>
        <w:rPr>
          <w:rFonts w:hint="eastAsia"/>
        </w:rPr>
        <w:t>质疑函不符合上述要求的，采购人或代理机构应书面告知具体事项，质疑人应当按要求进行修改或补充，并在质疑有效期限内提交。</w:t>
      </w:r>
    </w:p>
    <w:p w14:paraId="5030E118">
      <w:pPr>
        <w:pStyle w:val="32"/>
        <w:ind w:firstLine="480"/>
      </w:pPr>
    </w:p>
    <w:p w14:paraId="28D45AE5">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383" w:name="_Toc51674246"/>
      <w:bookmarkStart w:id="384" w:name="_Toc48846144"/>
      <w:bookmarkStart w:id="385" w:name="_Toc52962762"/>
      <w:bookmarkStart w:id="386" w:name="_Toc109900406"/>
      <w:bookmarkStart w:id="387" w:name="_Toc109899987"/>
      <w:bookmarkStart w:id="388" w:name="_Toc52960588"/>
      <w:bookmarkStart w:id="389" w:name="_Toc46771675"/>
      <w:bookmarkStart w:id="390" w:name="_Toc109899568"/>
      <w:bookmarkStart w:id="391" w:name="_Toc48688824"/>
      <w:bookmarkStart w:id="392" w:name="_Toc109897469"/>
      <w:bookmarkStart w:id="393" w:name="_Toc46772276"/>
      <w:r>
        <w:rPr>
          <w:rFonts w:hint="eastAsia"/>
        </w:rPr>
        <w:t>质疑答复</w:t>
      </w:r>
      <w:bookmarkEnd w:id="383"/>
      <w:bookmarkEnd w:id="384"/>
      <w:bookmarkEnd w:id="385"/>
      <w:bookmarkEnd w:id="386"/>
      <w:bookmarkEnd w:id="387"/>
      <w:bookmarkEnd w:id="388"/>
      <w:bookmarkEnd w:id="389"/>
      <w:bookmarkEnd w:id="390"/>
      <w:bookmarkEnd w:id="391"/>
      <w:bookmarkEnd w:id="392"/>
      <w:bookmarkEnd w:id="393"/>
    </w:p>
    <w:p w14:paraId="6DA2F3E0">
      <w:pPr>
        <w:pStyle w:val="32"/>
        <w:ind w:firstLine="480"/>
        <w:rPr>
          <w:snapToGrid w:val="0"/>
          <w:lang w:val="zh-CN"/>
        </w:rPr>
      </w:pPr>
      <w:r>
        <w:rPr>
          <w:snapToGrid w:val="0"/>
        </w:rPr>
        <w:t>3</w:t>
      </w:r>
      <w:r>
        <w:rPr>
          <w:rFonts w:hint="eastAsia"/>
          <w:snapToGrid w:val="0"/>
          <w:lang w:val="en-US" w:eastAsia="zh-CN"/>
        </w:rPr>
        <w:t>2</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7C6B9B5E">
      <w:pPr>
        <w:pStyle w:val="32"/>
        <w:ind w:firstLine="480"/>
        <w:rPr>
          <w:snapToGrid w:val="0"/>
          <w:lang w:val="zh-CN"/>
        </w:rPr>
      </w:pPr>
      <w:r>
        <w:rPr>
          <w:snapToGrid w:val="0"/>
          <w:lang w:val="zh-CN"/>
        </w:rPr>
        <w:t>3</w:t>
      </w:r>
      <w:r>
        <w:rPr>
          <w:rFonts w:hint="eastAsia"/>
          <w:snapToGrid w:val="0"/>
          <w:lang w:val="en-US" w:eastAsia="zh-CN"/>
        </w:rPr>
        <w:t>2</w:t>
      </w:r>
      <w:r>
        <w:rPr>
          <w:rFonts w:hint="eastAsia"/>
          <w:snapToGrid w:val="0"/>
          <w:lang w:val="zh-CN"/>
        </w:rPr>
        <w:t>.2质疑答复应当包括下列内容：</w:t>
      </w:r>
    </w:p>
    <w:p w14:paraId="2F6D5B5D">
      <w:pPr>
        <w:pStyle w:val="32"/>
        <w:ind w:firstLine="480"/>
        <w:rPr>
          <w:rFonts w:cs="宋体"/>
          <w:snapToGrid w:val="0"/>
          <w:lang w:val="zh-CN"/>
        </w:rPr>
      </w:pPr>
      <w:bookmarkStart w:id="394" w:name="_Toc48688825"/>
      <w:bookmarkStart w:id="395" w:name="_Toc52962763"/>
      <w:bookmarkStart w:id="396" w:name="_Toc46772277"/>
      <w:bookmarkStart w:id="397" w:name="_Toc46771676"/>
      <w:bookmarkStart w:id="398" w:name="_Toc51674247"/>
      <w:bookmarkStart w:id="399" w:name="_Toc48846145"/>
      <w:bookmarkStart w:id="400" w:name="_Toc52960589"/>
      <w:r>
        <w:rPr>
          <w:rFonts w:hint="eastAsia" w:cs="宋体"/>
          <w:snapToGrid w:val="0"/>
          <w:lang w:val="zh-CN"/>
        </w:rPr>
        <w:t>（1）质疑人的姓名或者名称；</w:t>
      </w:r>
    </w:p>
    <w:p w14:paraId="42DEE976">
      <w:pPr>
        <w:pStyle w:val="32"/>
        <w:ind w:firstLine="480"/>
        <w:rPr>
          <w:rFonts w:cs="宋体"/>
          <w:snapToGrid w:val="0"/>
          <w:lang w:val="zh-CN"/>
        </w:rPr>
      </w:pPr>
      <w:r>
        <w:rPr>
          <w:rFonts w:hint="eastAsia" w:cs="宋体"/>
          <w:snapToGrid w:val="0"/>
          <w:lang w:val="zh-CN"/>
        </w:rPr>
        <w:t>（2）收到质疑函的日期、质疑项目名称及编号；</w:t>
      </w:r>
    </w:p>
    <w:p w14:paraId="7B7E1095">
      <w:pPr>
        <w:pStyle w:val="32"/>
        <w:ind w:firstLine="480"/>
        <w:rPr>
          <w:rFonts w:cs="宋体"/>
          <w:snapToGrid w:val="0"/>
          <w:lang w:val="zh-CN"/>
        </w:rPr>
      </w:pPr>
      <w:r>
        <w:rPr>
          <w:rFonts w:hint="eastAsia" w:cs="宋体"/>
          <w:snapToGrid w:val="0"/>
          <w:lang w:val="zh-CN"/>
        </w:rPr>
        <w:t>（3）质疑事项、质疑答复的具体内容、事实依据和法律依据；</w:t>
      </w:r>
    </w:p>
    <w:p w14:paraId="177F3F93">
      <w:pPr>
        <w:pStyle w:val="32"/>
        <w:ind w:firstLine="480"/>
        <w:rPr>
          <w:rFonts w:cs="宋体"/>
          <w:snapToGrid w:val="0"/>
          <w:lang w:val="zh-CN"/>
        </w:rPr>
      </w:pPr>
      <w:r>
        <w:rPr>
          <w:rFonts w:hint="eastAsia" w:cs="宋体"/>
          <w:snapToGrid w:val="0"/>
          <w:lang w:val="zh-CN"/>
        </w:rPr>
        <w:t>（4）告知质疑人依法投诉的权利；</w:t>
      </w:r>
    </w:p>
    <w:p w14:paraId="4F9408A5">
      <w:pPr>
        <w:pStyle w:val="32"/>
        <w:ind w:firstLine="480"/>
        <w:rPr>
          <w:rFonts w:cs="宋体"/>
          <w:snapToGrid w:val="0"/>
          <w:lang w:val="zh-CN"/>
        </w:rPr>
      </w:pPr>
      <w:r>
        <w:rPr>
          <w:rFonts w:hint="eastAsia" w:cs="宋体"/>
          <w:snapToGrid w:val="0"/>
          <w:lang w:val="zh-CN"/>
        </w:rPr>
        <w:t>（5）质疑答复人名称；</w:t>
      </w:r>
    </w:p>
    <w:p w14:paraId="246938C7">
      <w:pPr>
        <w:pStyle w:val="32"/>
        <w:ind w:firstLine="480"/>
        <w:rPr>
          <w:rFonts w:cs="宋体"/>
          <w:snapToGrid w:val="0"/>
          <w:lang w:val="zh-CN"/>
        </w:rPr>
      </w:pPr>
      <w:r>
        <w:rPr>
          <w:rFonts w:hint="eastAsia" w:cs="宋体"/>
          <w:snapToGrid w:val="0"/>
          <w:lang w:val="zh-CN"/>
        </w:rPr>
        <w:t>（6）答复质疑的日期。</w:t>
      </w:r>
    </w:p>
    <w:p w14:paraId="6DA439D9">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401" w:name="_Toc109897470"/>
      <w:bookmarkStart w:id="402" w:name="_Toc109899569"/>
      <w:bookmarkStart w:id="403" w:name="_Toc109899988"/>
      <w:bookmarkStart w:id="404" w:name="_Toc109900407"/>
      <w:r>
        <w:rPr>
          <w:rFonts w:hint="eastAsia"/>
        </w:rPr>
        <w:t>投诉</w:t>
      </w:r>
      <w:bookmarkEnd w:id="394"/>
      <w:bookmarkEnd w:id="395"/>
      <w:bookmarkEnd w:id="396"/>
      <w:bookmarkEnd w:id="397"/>
      <w:bookmarkEnd w:id="398"/>
      <w:bookmarkEnd w:id="399"/>
      <w:bookmarkEnd w:id="400"/>
      <w:bookmarkEnd w:id="401"/>
      <w:bookmarkEnd w:id="402"/>
      <w:bookmarkEnd w:id="403"/>
      <w:bookmarkEnd w:id="404"/>
    </w:p>
    <w:p w14:paraId="0AD50799">
      <w:pPr>
        <w:pStyle w:val="32"/>
        <w:ind w:firstLine="480"/>
        <w:rPr>
          <w:snapToGrid w:val="0"/>
          <w:lang w:val="zh-CN"/>
        </w:rPr>
      </w:pPr>
      <w:r>
        <w:rPr>
          <w:snapToGrid w:val="0"/>
          <w:lang w:val="zh-CN"/>
        </w:rPr>
        <w:t>3</w:t>
      </w:r>
      <w:r>
        <w:rPr>
          <w:rFonts w:hint="eastAsia"/>
          <w:snapToGrid w:val="0"/>
          <w:lang w:val="en-US" w:eastAsia="zh-CN"/>
        </w:rPr>
        <w:t>3</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55A9C7B">
      <w:pPr>
        <w:pStyle w:val="32"/>
        <w:ind w:firstLine="480"/>
        <w:rPr>
          <w:rFonts w:hint="eastAsia"/>
          <w:snapToGrid w:val="0"/>
          <w:lang w:val="zh-CN"/>
        </w:rPr>
      </w:pPr>
      <w:r>
        <w:rPr>
          <w:snapToGrid w:val="0"/>
          <w:lang w:val="zh-CN"/>
        </w:rPr>
        <w:t>3</w:t>
      </w:r>
      <w:r>
        <w:rPr>
          <w:rFonts w:hint="eastAsia"/>
          <w:snapToGrid w:val="0"/>
          <w:lang w:val="en-US" w:eastAsia="zh-CN"/>
        </w:rPr>
        <w:t>3</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37B2405E">
      <w:pPr>
        <w:pStyle w:val="32"/>
        <w:ind w:firstLine="480"/>
        <w:rPr>
          <w:rFonts w:hint="eastAsia"/>
          <w:snapToGrid w:val="0"/>
          <w:lang w:val="zh-CN"/>
        </w:rPr>
      </w:pPr>
    </w:p>
    <w:bookmarkEnd w:id="112"/>
    <w:bookmarkEnd w:id="370"/>
    <w:p w14:paraId="67203A8C">
      <w:pPr>
        <w:pStyle w:val="4"/>
        <w:numPr>
          <w:ilvl w:val="0"/>
          <w:numId w:val="8"/>
        </w:numPr>
        <w:rPr>
          <w:color w:val="auto"/>
        </w:rPr>
      </w:pPr>
      <w:bookmarkStart w:id="405" w:name="_Toc163493619"/>
      <w:bookmarkStart w:id="406" w:name="_Toc19610"/>
      <w:bookmarkStart w:id="407" w:name="_Toc27855"/>
      <w:bookmarkStart w:id="408" w:name="_Hlk60570485"/>
      <w:bookmarkStart w:id="409" w:name="_Toc109897471"/>
      <w:bookmarkStart w:id="410" w:name="_Toc109899570"/>
      <w:bookmarkStart w:id="411" w:name="_Toc109899989"/>
      <w:bookmarkStart w:id="412" w:name="_Toc109900408"/>
      <w:r>
        <w:rPr>
          <w:rFonts w:hint="eastAsia"/>
          <w:color w:val="auto"/>
        </w:rPr>
        <w:t>采购代理服务费</w:t>
      </w:r>
      <w:bookmarkEnd w:id="405"/>
      <w:bookmarkEnd w:id="406"/>
      <w:bookmarkEnd w:id="407"/>
    </w:p>
    <w:p w14:paraId="6DEFA194">
      <w:pPr>
        <w:pStyle w:val="32"/>
        <w:rPr>
          <w:rFonts w:hint="eastAsia"/>
          <w:color w:val="auto"/>
        </w:rPr>
      </w:pPr>
      <w:r>
        <w:rPr>
          <w:rFonts w:hint="eastAsia"/>
          <w:color w:val="auto"/>
        </w:rPr>
        <w:t>代理业务结束时，由成交供应商</w:t>
      </w:r>
      <w:r>
        <w:rPr>
          <w:rFonts w:hint="eastAsia"/>
          <w:color w:val="auto"/>
          <w:lang w:eastAsia="zh-CN"/>
        </w:rPr>
        <w:t>按鄂建文【2023】35号文规定的收费标准</w:t>
      </w:r>
      <w:r>
        <w:rPr>
          <w:rFonts w:hint="eastAsia"/>
          <w:color w:val="auto"/>
        </w:rPr>
        <w:t>计取一次性向采购代理机构支付采购代理服务费。</w:t>
      </w:r>
    </w:p>
    <w:p w14:paraId="3812D719">
      <w:pPr>
        <w:pStyle w:val="32"/>
        <w:ind w:firstLine="480"/>
        <w:rPr>
          <w:rFonts w:hint="eastAsia"/>
          <w:color w:val="auto"/>
        </w:rPr>
      </w:pPr>
    </w:p>
    <w:p w14:paraId="695659C3">
      <w:pPr>
        <w:pStyle w:val="4"/>
        <w:numPr>
          <w:ilvl w:val="0"/>
          <w:numId w:val="8"/>
        </w:numPr>
      </w:pPr>
      <w:bookmarkStart w:id="413" w:name="_Toc163493620"/>
      <w:bookmarkStart w:id="414" w:name="_Toc517"/>
      <w:bookmarkStart w:id="415" w:name="_Toc4184"/>
      <w:r>
        <w:rPr>
          <w:rFonts w:hint="eastAsia"/>
        </w:rPr>
        <w:t>无效响应和终止采购活动</w:t>
      </w:r>
      <w:bookmarkEnd w:id="413"/>
      <w:bookmarkEnd w:id="414"/>
      <w:bookmarkEnd w:id="415"/>
    </w:p>
    <w:p w14:paraId="74CBDF10">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416" w:name="_Toc140132806"/>
      <w:bookmarkStart w:id="417" w:name="_Toc161600338"/>
      <w:r>
        <w:rPr>
          <w:rFonts w:hint="eastAsia"/>
        </w:rPr>
        <w:t>无效</w:t>
      </w:r>
      <w:bookmarkEnd w:id="416"/>
      <w:bookmarkEnd w:id="417"/>
      <w:r>
        <w:rPr>
          <w:rFonts w:hint="eastAsia"/>
        </w:rPr>
        <w:t>响应</w:t>
      </w:r>
    </w:p>
    <w:p w14:paraId="3BB2D11A">
      <w:pPr>
        <w:pStyle w:val="32"/>
        <w:ind w:firstLine="480"/>
      </w:pPr>
      <w:r>
        <w:t>3</w:t>
      </w:r>
      <w:r>
        <w:rPr>
          <w:rFonts w:hint="eastAsia"/>
          <w:lang w:val="en-US" w:eastAsia="zh-CN"/>
        </w:rPr>
        <w:t>4</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360D277C">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r>
        <w:rPr>
          <w:rFonts w:hint="eastAsia"/>
        </w:rPr>
        <w:t>终止采购活动</w:t>
      </w:r>
    </w:p>
    <w:p w14:paraId="3C6B52FC">
      <w:pPr>
        <w:pStyle w:val="32"/>
        <w:ind w:firstLine="480"/>
      </w:pPr>
      <w:r>
        <w:t>3</w:t>
      </w:r>
      <w:r>
        <w:rPr>
          <w:rFonts w:hint="eastAsia"/>
          <w:lang w:val="en-US" w:eastAsia="zh-CN"/>
        </w:rPr>
        <w:t>5</w:t>
      </w:r>
      <w:r>
        <w:rPr>
          <w:rFonts w:hint="eastAsia"/>
        </w:rPr>
        <w:t>.1出现下列情形之一的，应当终止竞争性磋商采购活动，发布项目终止公告并说明原因，重新开展采购活动：</w:t>
      </w:r>
    </w:p>
    <w:p w14:paraId="58BCE7CC">
      <w:pPr>
        <w:pStyle w:val="32"/>
        <w:ind w:firstLine="480"/>
      </w:pPr>
      <w:r>
        <w:rPr>
          <w:rFonts w:hint="eastAsia"/>
        </w:rPr>
        <w:t>（1）因情况变化，不再符合规定的竞争性磋商采购方式适用情形的；</w:t>
      </w:r>
    </w:p>
    <w:p w14:paraId="3FD1CFDE">
      <w:pPr>
        <w:pStyle w:val="32"/>
        <w:ind w:firstLine="480"/>
      </w:pPr>
      <w:r>
        <w:rPr>
          <w:rFonts w:hint="eastAsia"/>
        </w:rPr>
        <w:t>（2）出现影响采购公正的违法、违规行为的；</w:t>
      </w:r>
    </w:p>
    <w:p w14:paraId="5846ED16">
      <w:pPr>
        <w:pStyle w:val="32"/>
        <w:ind w:firstLine="480"/>
        <w:rPr>
          <w:rFonts w:hint="eastAsia"/>
        </w:rPr>
      </w:pPr>
      <w:r>
        <w:rPr>
          <w:rFonts w:hint="eastAsia"/>
        </w:rPr>
        <w:t>（3）在采购过程中符合要求的供应商或者报价未超过采购预算的供应商不足</w:t>
      </w:r>
      <w:r>
        <w:t>3家的（市场竞争不充分的科研项目、需要扶持的科技成果转化项目以及政府购买服务项目&lt;含政府和社会资本合作项目&gt;）的</w:t>
      </w:r>
      <w:r>
        <w:rPr>
          <w:rFonts w:hint="eastAsia"/>
        </w:rPr>
        <w:t>提交最后报价的供应商</w:t>
      </w:r>
      <w:r>
        <w:t>可以为2家）</w:t>
      </w:r>
      <w:r>
        <w:rPr>
          <w:rFonts w:hint="eastAsia"/>
        </w:rPr>
        <w:t>。</w:t>
      </w:r>
    </w:p>
    <w:p w14:paraId="7FAFABC1">
      <w:pPr>
        <w:pStyle w:val="32"/>
        <w:ind w:firstLine="480"/>
        <w:rPr>
          <w:rFonts w:hint="eastAsia"/>
        </w:rPr>
      </w:pPr>
    </w:p>
    <w:p w14:paraId="47DD274C">
      <w:pPr>
        <w:pStyle w:val="4"/>
        <w:numPr>
          <w:ilvl w:val="0"/>
          <w:numId w:val="8"/>
        </w:numPr>
      </w:pPr>
      <w:bookmarkStart w:id="418" w:name="_Toc163493621"/>
      <w:bookmarkStart w:id="419" w:name="_Toc27921"/>
      <w:bookmarkStart w:id="420" w:name="_Toc161600340"/>
      <w:bookmarkStart w:id="421" w:name="_Toc140132766"/>
      <w:bookmarkStart w:id="422" w:name="_Toc17699"/>
      <w:r>
        <w:rPr>
          <w:rFonts w:hint="eastAsia"/>
        </w:rPr>
        <w:t>落实政府采购政策</w:t>
      </w:r>
      <w:bookmarkEnd w:id="418"/>
      <w:bookmarkEnd w:id="419"/>
      <w:bookmarkEnd w:id="420"/>
      <w:bookmarkEnd w:id="421"/>
      <w:bookmarkEnd w:id="422"/>
    </w:p>
    <w:p w14:paraId="3F223498">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423" w:name="_Toc161600341"/>
      <w:r>
        <w:rPr>
          <w:rFonts w:hint="eastAsia"/>
        </w:rPr>
        <w:t>支持国产和进口产品审批</w:t>
      </w:r>
      <w:bookmarkEnd w:id="423"/>
    </w:p>
    <w:p w14:paraId="373632E2">
      <w:pPr>
        <w:pStyle w:val="32"/>
        <w:ind w:firstLine="480"/>
        <w:rPr>
          <w:snapToGrid w:val="0"/>
        </w:rPr>
      </w:pPr>
      <w:r>
        <w:rPr>
          <w:snapToGrid w:val="0"/>
        </w:rPr>
        <w:t>3</w:t>
      </w:r>
      <w:r>
        <w:rPr>
          <w:rFonts w:hint="eastAsia"/>
          <w:snapToGrid w:val="0"/>
          <w:lang w:val="en-US" w:eastAsia="zh-CN"/>
        </w:rPr>
        <w:t>6</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5836587B">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424" w:name="_Toc161600342"/>
      <w:r>
        <w:rPr>
          <w:rFonts w:hint="eastAsia"/>
        </w:rPr>
        <w:t>中小企业、监狱企业及残疾人福利性单位</w:t>
      </w:r>
      <w:bookmarkEnd w:id="424"/>
    </w:p>
    <w:p w14:paraId="465420C4">
      <w:pPr>
        <w:pStyle w:val="32"/>
        <w:ind w:firstLine="480"/>
        <w:rPr>
          <w:snapToGrid w:val="0"/>
        </w:rPr>
      </w:pPr>
      <w:r>
        <w:rPr>
          <w:snapToGrid w:val="0"/>
        </w:rPr>
        <w:t>3</w:t>
      </w:r>
      <w:r>
        <w:rPr>
          <w:rFonts w:hint="eastAsia"/>
          <w:snapToGrid w:val="0"/>
          <w:lang w:val="en-US" w:eastAsia="zh-CN"/>
        </w:rPr>
        <w:t>7</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磋商小组将依据“供应商须知前附表”规定的报价扣除比例，对供应商报价进行价格扣除，用扣除后的价格参与评审。</w:t>
      </w:r>
    </w:p>
    <w:p w14:paraId="697BD005">
      <w:pPr>
        <w:pStyle w:val="32"/>
        <w:ind w:firstLine="480"/>
        <w:rPr>
          <w:snapToGrid w:val="0"/>
        </w:rPr>
      </w:pPr>
      <w:r>
        <w:rPr>
          <w:snapToGrid w:val="0"/>
        </w:rPr>
        <w:t>3</w:t>
      </w:r>
      <w:r>
        <w:rPr>
          <w:rFonts w:hint="eastAsia"/>
          <w:snapToGrid w:val="0"/>
          <w:lang w:val="en-US" w:eastAsia="zh-CN"/>
        </w:rPr>
        <w:t>7</w:t>
      </w:r>
      <w:r>
        <w:rPr>
          <w:rFonts w:hint="eastAsia"/>
          <w:snapToGrid w:val="0"/>
        </w:rPr>
        <w:t>.2对中小企业在资金支付期限方面的优惠措施：按《</w:t>
      </w:r>
      <w:r>
        <w:rPr>
          <w:rFonts w:hint="eastAsia"/>
          <w:snapToGrid w:val="0"/>
          <w:color w:val="auto"/>
        </w:rPr>
        <w:t>湖北省财政厅关于持续优化政府采购营商环境的通知》（鄂财采发〔202</w:t>
      </w:r>
      <w:r>
        <w:rPr>
          <w:snapToGrid w:val="0"/>
          <w:color w:val="auto"/>
        </w:rPr>
        <w:t>4</w:t>
      </w:r>
      <w:r>
        <w:rPr>
          <w:rFonts w:hint="eastAsia"/>
          <w:snapToGrid w:val="0"/>
          <w:color w:val="auto"/>
        </w:rPr>
        <w:t>〕</w:t>
      </w:r>
      <w:r>
        <w:rPr>
          <w:snapToGrid w:val="0"/>
          <w:color w:val="auto"/>
        </w:rPr>
        <w:t>3</w:t>
      </w:r>
      <w:r>
        <w:rPr>
          <w:rFonts w:hint="eastAsia"/>
          <w:snapToGrid w:val="0"/>
          <w:color w:val="auto"/>
        </w:rPr>
        <w:t>号）</w:t>
      </w:r>
      <w:r>
        <w:rPr>
          <w:rFonts w:hint="eastAsia"/>
          <w:snapToGrid w:val="0"/>
        </w:rPr>
        <w:t>执行。</w:t>
      </w:r>
    </w:p>
    <w:p w14:paraId="5CBAECD3">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425" w:name="_Toc161600343"/>
      <w:r>
        <w:rPr>
          <w:rFonts w:hint="eastAsia"/>
        </w:rPr>
        <w:t>政府采购节能产品、环境标志产品</w:t>
      </w:r>
      <w:bookmarkEnd w:id="425"/>
    </w:p>
    <w:p w14:paraId="7FF51E3F">
      <w:pPr>
        <w:pStyle w:val="32"/>
        <w:ind w:firstLine="480"/>
      </w:pPr>
      <w:r>
        <w:rPr>
          <w:rFonts w:hint="eastAsia"/>
          <w:snapToGrid w:val="0"/>
          <w:lang w:val="en-US" w:eastAsia="zh-CN"/>
        </w:rPr>
        <w:t>38</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投标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8"/>
    <w:bookmarkEnd w:id="409"/>
    <w:bookmarkEnd w:id="410"/>
    <w:bookmarkEnd w:id="411"/>
    <w:bookmarkEnd w:id="412"/>
    <w:p w14:paraId="42232A9E">
      <w:pPr>
        <w:pStyle w:val="4"/>
        <w:numPr>
          <w:ilvl w:val="0"/>
          <w:numId w:val="8"/>
        </w:numPr>
      </w:pPr>
      <w:bookmarkStart w:id="426" w:name="_Toc13638"/>
      <w:bookmarkStart w:id="427" w:name="_Toc109899575"/>
      <w:bookmarkStart w:id="428" w:name="_Toc109897476"/>
      <w:bookmarkStart w:id="429" w:name="_Toc31082"/>
      <w:bookmarkStart w:id="430" w:name="_Toc163493623"/>
      <w:bookmarkStart w:id="431" w:name="_Toc109900413"/>
      <w:bookmarkStart w:id="432" w:name="_Toc109899994"/>
      <w:r>
        <w:rPr>
          <w:rFonts w:hint="eastAsia"/>
        </w:rPr>
        <w:t>其他</w:t>
      </w:r>
      <w:bookmarkEnd w:id="426"/>
      <w:bookmarkEnd w:id="427"/>
      <w:bookmarkEnd w:id="428"/>
      <w:bookmarkEnd w:id="429"/>
      <w:bookmarkEnd w:id="430"/>
      <w:bookmarkEnd w:id="431"/>
      <w:bookmarkEnd w:id="432"/>
    </w:p>
    <w:p w14:paraId="4BB254B7">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433" w:name="_Toc161600347"/>
      <w:r>
        <w:rPr>
          <w:rFonts w:hint="eastAsia"/>
        </w:rPr>
        <w:t>需要补充的其他内容</w:t>
      </w:r>
      <w:bookmarkEnd w:id="433"/>
    </w:p>
    <w:p w14:paraId="7145C5F6">
      <w:pPr>
        <w:pStyle w:val="32"/>
        <w:ind w:firstLine="480"/>
      </w:pPr>
      <w:r>
        <w:rPr>
          <w:rFonts w:hint="eastAsia"/>
          <w:lang w:val="en-US" w:eastAsia="zh-CN"/>
        </w:rPr>
        <w:t>39</w:t>
      </w:r>
      <w:r>
        <w:rPr>
          <w:rFonts w:hint="eastAsia"/>
        </w:rPr>
        <w:t>.1需要补充的其他内容：见供应商须知前附表。</w:t>
      </w:r>
    </w:p>
    <w:p w14:paraId="09396E52">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434" w:name="_Toc109900414"/>
      <w:bookmarkStart w:id="435" w:name="_Toc109899576"/>
      <w:bookmarkStart w:id="436" w:name="_Toc109899995"/>
      <w:bookmarkStart w:id="437" w:name="_Toc109897477"/>
      <w:r>
        <w:rPr>
          <w:rFonts w:hint="eastAsia"/>
        </w:rPr>
        <w:t>适用法律</w:t>
      </w:r>
      <w:bookmarkEnd w:id="434"/>
      <w:bookmarkEnd w:id="435"/>
      <w:bookmarkEnd w:id="436"/>
      <w:bookmarkEnd w:id="437"/>
    </w:p>
    <w:p w14:paraId="4C064E05">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hint="eastAsia" w:cs="仿宋_GB2312"/>
          <w:snapToGrid w:val="0"/>
          <w:szCs w:val="24"/>
          <w:lang w:val="en-US" w:eastAsia="zh-CN"/>
        </w:rPr>
        <w:t>0</w:t>
      </w:r>
      <w:r>
        <w:rPr>
          <w:rFonts w:cs="仿宋_GB2312"/>
          <w:snapToGrid w:val="0"/>
          <w:szCs w:val="24"/>
          <w:lang w:val="zh-CN"/>
        </w:rPr>
        <w:t>.1</w:t>
      </w:r>
      <w:r>
        <w:rPr>
          <w:rFonts w:hint="eastAsia" w:cs="仿宋_GB2312"/>
          <w:snapToGrid w:val="0"/>
          <w:szCs w:val="24"/>
          <w:lang w:val="zh-CN"/>
        </w:rPr>
        <w:t>采购人、采购代理机构及供应商的一切采购活动均适用《政府采购法》、《政府采购法实施条例》、</w:t>
      </w:r>
      <w:r>
        <w:rPr>
          <w:rFonts w:hint="eastAsia" w:cs="宋体"/>
          <w:szCs w:val="24"/>
          <w:highlight w:val="white"/>
        </w:rPr>
        <w:t>《政府采购竞争性磋商采购方式管理暂行办法》（</w:t>
      </w:r>
      <w:r>
        <w:rPr>
          <w:rFonts w:hint="eastAsia" w:cs="宋体"/>
          <w:szCs w:val="24"/>
        </w:rPr>
        <w:t>财库〔</w:t>
      </w:r>
      <w:r>
        <w:rPr>
          <w:rFonts w:cs="宋体"/>
          <w:szCs w:val="24"/>
        </w:rPr>
        <w:t>2014〕214号</w:t>
      </w:r>
      <w:r>
        <w:rPr>
          <w:rFonts w:hint="eastAsia" w:cs="宋体"/>
          <w:szCs w:val="24"/>
          <w:highlight w:val="white"/>
        </w:rPr>
        <w:t>）</w:t>
      </w:r>
      <w:r>
        <w:rPr>
          <w:rFonts w:hint="eastAsia" w:cs="仿宋_GB2312"/>
          <w:snapToGrid w:val="0"/>
          <w:szCs w:val="24"/>
          <w:lang w:val="zh-CN"/>
        </w:rPr>
        <w:t>及相关法律法规。</w:t>
      </w:r>
    </w:p>
    <w:p w14:paraId="330B1E02">
      <w:pPr>
        <w:pStyle w:val="32"/>
        <w:ind w:firstLine="480"/>
        <w:rPr>
          <w:snapToGrid w:val="0"/>
          <w:lang w:val="zh-CN"/>
        </w:rPr>
      </w:pPr>
      <w:r>
        <w:rPr>
          <w:rFonts w:hint="eastAsia" w:cs="仿宋_GB2312"/>
          <w:snapToGrid w:val="0"/>
          <w:szCs w:val="24"/>
          <w:lang w:val="zh-CN"/>
        </w:rPr>
        <w:t>4</w:t>
      </w:r>
      <w:r>
        <w:rPr>
          <w:rFonts w:hint="eastAsia" w:cs="仿宋_GB2312"/>
          <w:snapToGrid w:val="0"/>
          <w:szCs w:val="24"/>
          <w:lang w:val="en-US" w:eastAsia="zh-CN"/>
        </w:rPr>
        <w:t>0</w:t>
      </w:r>
      <w:r>
        <w:rPr>
          <w:rFonts w:cs="仿宋_GB2312"/>
          <w:snapToGrid w:val="0"/>
          <w:szCs w:val="24"/>
          <w:lang w:val="zh-CN"/>
        </w:rPr>
        <w:t>.2</w:t>
      </w:r>
      <w:r>
        <w:rPr>
          <w:rFonts w:hint="eastAsia"/>
          <w:snapToGrid w:val="0"/>
          <w:lang w:val="zh-CN"/>
        </w:rPr>
        <w:t>政府采购合同的履行、违约责任和解决争议的方法等适用《民法典》。</w:t>
      </w:r>
    </w:p>
    <w:p w14:paraId="1C8C672D">
      <w:pPr>
        <w:pStyle w:val="5"/>
        <w:keepNext/>
        <w:keepLines/>
        <w:pageBreakBefore w:val="0"/>
        <w:widowControl w:val="0"/>
        <w:numPr>
          <w:ilvl w:val="0"/>
          <w:numId w:val="9"/>
        </w:numPr>
        <w:kinsoku/>
        <w:wordWrap/>
        <w:overflowPunct/>
        <w:topLinePunct w:val="0"/>
        <w:autoSpaceDE/>
        <w:autoSpaceDN/>
        <w:bidi w:val="0"/>
        <w:adjustRightInd/>
        <w:snapToGrid/>
        <w:spacing w:before="0" w:after="0" w:line="377" w:lineRule="auto"/>
        <w:ind w:left="420"/>
        <w:textAlignment w:val="auto"/>
      </w:pPr>
      <w:bookmarkStart w:id="438" w:name="_Toc161600349"/>
      <w:bookmarkStart w:id="439" w:name="_Toc155185887"/>
      <w:r>
        <w:rPr>
          <w:rFonts w:hint="eastAsia"/>
        </w:rPr>
        <w:t>解释权</w:t>
      </w:r>
      <w:bookmarkEnd w:id="438"/>
      <w:bookmarkEnd w:id="439"/>
    </w:p>
    <w:p w14:paraId="144E438B">
      <w:pPr>
        <w:pStyle w:val="32"/>
        <w:ind w:firstLine="480"/>
        <w:rPr>
          <w:snapToGrid w:val="0"/>
        </w:rPr>
      </w:pPr>
      <w:r>
        <w:rPr>
          <w:snapToGrid w:val="0"/>
        </w:rPr>
        <w:t>4</w:t>
      </w:r>
      <w:r>
        <w:rPr>
          <w:rFonts w:hint="eastAsia"/>
          <w:snapToGrid w:val="0"/>
          <w:lang w:val="en-US" w:eastAsia="zh-CN"/>
        </w:rPr>
        <w:t>1</w:t>
      </w:r>
      <w:r>
        <w:rPr>
          <w:rFonts w:hint="eastAsia"/>
          <w:snapToGrid w:val="0"/>
        </w:rPr>
        <w:t>.1本竞争性磋商文件最终解释权归采购人或采购代理机构所有。</w:t>
      </w:r>
    </w:p>
    <w:p w14:paraId="371AEE45">
      <w:pPr>
        <w:pStyle w:val="32"/>
        <w:ind w:firstLine="480"/>
      </w:pPr>
    </w:p>
    <w:p w14:paraId="1053216E">
      <w:pPr>
        <w:pStyle w:val="32"/>
        <w:ind w:firstLine="480"/>
      </w:pPr>
    </w:p>
    <w:p w14:paraId="07E24AF3">
      <w:pPr>
        <w:pStyle w:val="32"/>
        <w:ind w:firstLine="48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44C23AE">
      <w:pPr>
        <w:pStyle w:val="2"/>
        <w:numPr>
          <w:ilvl w:val="0"/>
          <w:numId w:val="1"/>
        </w:numPr>
        <w:rPr>
          <w:color w:val="auto"/>
        </w:rPr>
      </w:pPr>
      <w:bookmarkStart w:id="440" w:name="_Toc18697"/>
      <w:bookmarkStart w:id="441" w:name="_Toc27036"/>
      <w:bookmarkStart w:id="442" w:name="_Toc16408"/>
      <w:bookmarkStart w:id="443" w:name="_Toc163493624"/>
      <w:bookmarkStart w:id="444" w:name="_Toc14758"/>
      <w:bookmarkStart w:id="445" w:name="_Toc29884"/>
      <w:r>
        <w:rPr>
          <w:rFonts w:hint="eastAsia"/>
          <w:color w:val="auto"/>
        </w:rPr>
        <w:t>项目采购需求</w:t>
      </w:r>
      <w:bookmarkEnd w:id="440"/>
      <w:bookmarkEnd w:id="441"/>
      <w:bookmarkEnd w:id="442"/>
      <w:bookmarkEnd w:id="443"/>
      <w:bookmarkEnd w:id="444"/>
      <w:bookmarkEnd w:id="445"/>
    </w:p>
    <w:p w14:paraId="160687E8"/>
    <w:p w14:paraId="6486B783">
      <w:pPr>
        <w:numPr>
          <w:ilvl w:val="0"/>
          <w:numId w:val="10"/>
        </w:numPr>
        <w:spacing w:line="240" w:lineRule="auto"/>
        <w:ind w:firstLine="0" w:firstLineChars="0"/>
        <w:jc w:val="both"/>
        <w:rPr>
          <w:rFonts w:cs="Times New Roman"/>
          <w:b/>
          <w:bCs/>
          <w:color w:val="auto"/>
          <w:kern w:val="0"/>
          <w:sz w:val="28"/>
          <w:szCs w:val="28"/>
        </w:rPr>
      </w:pPr>
      <w:r>
        <w:rPr>
          <w:rFonts w:hint="eastAsia" w:cs="Times New Roman"/>
          <w:b/>
          <w:bCs/>
          <w:color w:val="auto"/>
          <w:kern w:val="0"/>
          <w:sz w:val="28"/>
          <w:szCs w:val="28"/>
        </w:rPr>
        <w:t>采购内容</w:t>
      </w:r>
    </w:p>
    <w:tbl>
      <w:tblPr>
        <w:tblStyle w:val="50"/>
        <w:tblW w:w="9217"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1800"/>
        <w:gridCol w:w="750"/>
        <w:gridCol w:w="684"/>
        <w:gridCol w:w="1233"/>
        <w:gridCol w:w="1583"/>
        <w:gridCol w:w="2284"/>
      </w:tblGrid>
      <w:tr w14:paraId="49A57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83" w:type="dxa"/>
            <w:shd w:val="clear" w:color="auto" w:fill="F1F1F1"/>
          </w:tcPr>
          <w:p w14:paraId="32CB561C">
            <w:pPr>
              <w:spacing w:before="143" w:line="221" w:lineRule="auto"/>
              <w:ind w:left="185" w:firstLine="0" w:firstLineChars="0"/>
              <w:jc w:val="both"/>
              <w:rPr>
                <w:rFonts w:cs="宋体"/>
                <w:color w:val="auto"/>
                <w:kern w:val="0"/>
                <w:szCs w:val="24"/>
              </w:rPr>
            </w:pPr>
            <w:r>
              <w:rPr>
                <w:rFonts w:cs="宋体"/>
                <w:color w:val="auto"/>
                <w:spacing w:val="-2"/>
                <w:kern w:val="0"/>
                <w:szCs w:val="24"/>
              </w:rPr>
              <w:t>序</w:t>
            </w:r>
            <w:r>
              <w:rPr>
                <w:rFonts w:cs="宋体"/>
                <w:color w:val="auto"/>
                <w:spacing w:val="-1"/>
                <w:kern w:val="0"/>
                <w:szCs w:val="24"/>
              </w:rPr>
              <w:t>号</w:t>
            </w:r>
          </w:p>
        </w:tc>
        <w:tc>
          <w:tcPr>
            <w:tcW w:w="1800" w:type="dxa"/>
            <w:shd w:val="clear" w:color="auto" w:fill="F1F1F1"/>
          </w:tcPr>
          <w:p w14:paraId="0C51D38A">
            <w:pPr>
              <w:spacing w:before="143" w:line="222" w:lineRule="auto"/>
              <w:ind w:left="859" w:firstLine="0" w:firstLineChars="0"/>
              <w:jc w:val="both"/>
              <w:rPr>
                <w:rFonts w:cs="宋体"/>
                <w:color w:val="auto"/>
                <w:kern w:val="0"/>
                <w:szCs w:val="24"/>
              </w:rPr>
            </w:pPr>
            <w:r>
              <w:rPr>
                <w:rFonts w:cs="宋体"/>
                <w:color w:val="auto"/>
                <w:spacing w:val="-3"/>
                <w:kern w:val="0"/>
                <w:szCs w:val="24"/>
              </w:rPr>
              <w:t>名</w:t>
            </w:r>
            <w:r>
              <w:rPr>
                <w:rFonts w:cs="宋体"/>
                <w:color w:val="auto"/>
                <w:spacing w:val="-2"/>
                <w:kern w:val="0"/>
                <w:szCs w:val="24"/>
              </w:rPr>
              <w:t>称</w:t>
            </w:r>
          </w:p>
        </w:tc>
        <w:tc>
          <w:tcPr>
            <w:tcW w:w="750" w:type="dxa"/>
            <w:shd w:val="clear" w:color="auto" w:fill="F1F1F1"/>
          </w:tcPr>
          <w:p w14:paraId="4EE24AC4">
            <w:pPr>
              <w:spacing w:before="143" w:line="220" w:lineRule="auto"/>
              <w:ind w:left="0" w:leftChars="0" w:firstLine="0" w:firstLineChars="0"/>
              <w:jc w:val="center"/>
              <w:rPr>
                <w:rFonts w:cs="宋体"/>
                <w:color w:val="auto"/>
                <w:kern w:val="0"/>
                <w:szCs w:val="24"/>
              </w:rPr>
            </w:pPr>
            <w:r>
              <w:rPr>
                <w:rFonts w:cs="宋体"/>
                <w:color w:val="auto"/>
                <w:spacing w:val="-3"/>
                <w:kern w:val="0"/>
                <w:szCs w:val="24"/>
              </w:rPr>
              <w:t>数</w:t>
            </w:r>
            <w:r>
              <w:rPr>
                <w:rFonts w:cs="宋体"/>
                <w:color w:val="auto"/>
                <w:spacing w:val="-2"/>
                <w:kern w:val="0"/>
                <w:szCs w:val="24"/>
              </w:rPr>
              <w:t>量</w:t>
            </w:r>
          </w:p>
        </w:tc>
        <w:tc>
          <w:tcPr>
            <w:tcW w:w="684" w:type="dxa"/>
            <w:shd w:val="clear" w:color="auto" w:fill="F1F1F1"/>
          </w:tcPr>
          <w:p w14:paraId="2A3501A8">
            <w:pPr>
              <w:spacing w:before="144" w:line="220" w:lineRule="auto"/>
              <w:ind w:left="0" w:leftChars="0" w:firstLine="0" w:firstLineChars="0"/>
              <w:jc w:val="center"/>
              <w:rPr>
                <w:rFonts w:cs="宋体"/>
                <w:color w:val="auto"/>
                <w:kern w:val="0"/>
                <w:szCs w:val="24"/>
              </w:rPr>
            </w:pPr>
            <w:r>
              <w:rPr>
                <w:rFonts w:cs="宋体"/>
                <w:color w:val="auto"/>
                <w:spacing w:val="-3"/>
                <w:kern w:val="0"/>
                <w:szCs w:val="24"/>
              </w:rPr>
              <w:t>单</w:t>
            </w:r>
            <w:r>
              <w:rPr>
                <w:rFonts w:cs="宋体"/>
                <w:color w:val="auto"/>
                <w:spacing w:val="-2"/>
                <w:kern w:val="0"/>
                <w:szCs w:val="24"/>
              </w:rPr>
              <w:t>位</w:t>
            </w:r>
          </w:p>
        </w:tc>
        <w:tc>
          <w:tcPr>
            <w:tcW w:w="1233" w:type="dxa"/>
            <w:shd w:val="clear" w:color="auto" w:fill="F1F1F1"/>
          </w:tcPr>
          <w:p w14:paraId="38BF1A18">
            <w:pPr>
              <w:spacing w:before="143" w:line="220" w:lineRule="auto"/>
              <w:ind w:left="176" w:firstLine="0" w:firstLineChars="0"/>
              <w:jc w:val="both"/>
              <w:rPr>
                <w:rFonts w:cs="宋体"/>
                <w:color w:val="auto"/>
                <w:kern w:val="0"/>
                <w:szCs w:val="24"/>
              </w:rPr>
            </w:pPr>
            <w:r>
              <w:rPr>
                <w:rFonts w:cs="宋体"/>
                <w:color w:val="auto"/>
                <w:spacing w:val="-2"/>
                <w:kern w:val="0"/>
                <w:szCs w:val="24"/>
              </w:rPr>
              <w:t>产品</w:t>
            </w:r>
            <w:r>
              <w:rPr>
                <w:rFonts w:cs="宋体"/>
                <w:color w:val="auto"/>
                <w:spacing w:val="-1"/>
                <w:kern w:val="0"/>
                <w:szCs w:val="24"/>
              </w:rPr>
              <w:t>属性</w:t>
            </w:r>
          </w:p>
        </w:tc>
        <w:tc>
          <w:tcPr>
            <w:tcW w:w="1583" w:type="dxa"/>
            <w:shd w:val="clear" w:color="auto" w:fill="F1F1F1"/>
          </w:tcPr>
          <w:p w14:paraId="3A147AE6">
            <w:pPr>
              <w:spacing w:before="120" w:line="220" w:lineRule="auto"/>
              <w:ind w:left="0" w:leftChars="0" w:firstLine="0" w:firstLineChars="0"/>
              <w:jc w:val="center"/>
              <w:rPr>
                <w:rFonts w:cs="宋体"/>
                <w:color w:val="auto"/>
                <w:kern w:val="0"/>
                <w:szCs w:val="24"/>
              </w:rPr>
            </w:pPr>
            <w:r>
              <w:rPr>
                <w:rFonts w:cs="宋体"/>
                <w:color w:val="auto"/>
                <w:spacing w:val="-2"/>
                <w:kern w:val="0"/>
                <w:szCs w:val="24"/>
              </w:rPr>
              <w:t>所属</w:t>
            </w:r>
            <w:r>
              <w:rPr>
                <w:rFonts w:cs="宋体"/>
                <w:color w:val="auto"/>
                <w:spacing w:val="-1"/>
                <w:kern w:val="0"/>
                <w:szCs w:val="24"/>
              </w:rPr>
              <w:t>行业</w:t>
            </w:r>
          </w:p>
          <w:p w14:paraId="5BEAE72B">
            <w:pPr>
              <w:spacing w:before="68" w:line="43" w:lineRule="exact"/>
              <w:ind w:firstLine="0" w:firstLineChars="0"/>
              <w:jc w:val="both"/>
              <w:textAlignment w:val="center"/>
              <w:rPr>
                <w:rFonts w:cs="Times New Roman"/>
                <w:color w:val="auto"/>
                <w:kern w:val="0"/>
                <w:szCs w:val="20"/>
              </w:rPr>
            </w:pPr>
          </w:p>
        </w:tc>
        <w:tc>
          <w:tcPr>
            <w:tcW w:w="2284" w:type="dxa"/>
            <w:shd w:val="clear" w:color="auto" w:fill="F1F1F1"/>
            <w:vAlign w:val="top"/>
          </w:tcPr>
          <w:p w14:paraId="27FF983F">
            <w:pPr>
              <w:spacing w:before="120" w:line="220" w:lineRule="auto"/>
              <w:ind w:left="355" w:firstLine="0" w:firstLineChars="0"/>
              <w:jc w:val="both"/>
              <w:rPr>
                <w:rFonts w:hint="default" w:eastAsia="宋体" w:cs="宋体"/>
                <w:color w:val="auto"/>
                <w:kern w:val="0"/>
                <w:szCs w:val="24"/>
                <w:lang w:val="en-US" w:eastAsia="zh-CN"/>
              </w:rPr>
            </w:pPr>
            <w:r>
              <w:rPr>
                <w:rFonts w:hint="eastAsia" w:cs="宋体"/>
                <w:color w:val="auto"/>
                <w:spacing w:val="-2"/>
                <w:kern w:val="0"/>
                <w:szCs w:val="24"/>
                <w:lang w:val="en-US" w:eastAsia="zh-CN"/>
              </w:rPr>
              <w:t>项目工期</w:t>
            </w:r>
          </w:p>
          <w:p w14:paraId="35B0314C">
            <w:pPr>
              <w:spacing w:before="68" w:line="43" w:lineRule="exact"/>
              <w:ind w:firstLine="0" w:firstLineChars="0"/>
              <w:jc w:val="both"/>
              <w:textAlignment w:val="center"/>
              <w:rPr>
                <w:rFonts w:cs="Times New Roman"/>
                <w:color w:val="auto"/>
                <w:kern w:val="0"/>
                <w:szCs w:val="20"/>
              </w:rPr>
            </w:pPr>
          </w:p>
        </w:tc>
      </w:tr>
      <w:tr w14:paraId="1B37C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83" w:type="dxa"/>
          </w:tcPr>
          <w:p w14:paraId="0B7AC009">
            <w:pPr>
              <w:spacing w:before="298" w:line="185" w:lineRule="auto"/>
              <w:ind w:firstLine="0" w:firstLineChars="0"/>
              <w:jc w:val="center"/>
              <w:rPr>
                <w:rFonts w:cs="宋体"/>
                <w:color w:val="auto"/>
                <w:kern w:val="0"/>
                <w:szCs w:val="24"/>
              </w:rPr>
            </w:pPr>
            <w:r>
              <w:rPr>
                <w:rFonts w:hint="eastAsia" w:cs="宋体"/>
                <w:color w:val="auto"/>
                <w:kern w:val="0"/>
                <w:szCs w:val="24"/>
              </w:rPr>
              <w:t>1</w:t>
            </w:r>
          </w:p>
        </w:tc>
        <w:tc>
          <w:tcPr>
            <w:tcW w:w="1800" w:type="dxa"/>
            <w:vAlign w:val="center"/>
          </w:tcPr>
          <w:p w14:paraId="2880AF7A">
            <w:pPr>
              <w:spacing w:line="227" w:lineRule="auto"/>
              <w:ind w:firstLine="0" w:firstLineChars="0"/>
              <w:jc w:val="center"/>
              <w:rPr>
                <w:rFonts w:hint="eastAsia" w:eastAsia="宋体" w:cs="宋体"/>
                <w:color w:val="auto"/>
                <w:kern w:val="0"/>
                <w:sz w:val="23"/>
                <w:szCs w:val="23"/>
                <w:lang w:eastAsia="zh-CN"/>
              </w:rPr>
            </w:pPr>
            <w:r>
              <w:rPr>
                <w:rFonts w:hint="eastAsia" w:cs="宋体"/>
                <w:color w:val="auto"/>
                <w:spacing w:val="13"/>
                <w:kern w:val="0"/>
                <w:sz w:val="24"/>
                <w:szCs w:val="24"/>
                <w:lang w:val="en-US" w:eastAsia="zh-CN"/>
              </w:rPr>
              <w:t>章华高中设备搬迁项目第二次</w:t>
            </w:r>
          </w:p>
        </w:tc>
        <w:tc>
          <w:tcPr>
            <w:tcW w:w="750" w:type="dxa"/>
            <w:vAlign w:val="center"/>
          </w:tcPr>
          <w:p w14:paraId="0879CF7A">
            <w:pPr>
              <w:spacing w:before="78" w:line="220" w:lineRule="auto"/>
              <w:ind w:firstLine="0" w:firstLineChars="0"/>
              <w:jc w:val="center"/>
              <w:rPr>
                <w:rFonts w:cs="宋体"/>
                <w:color w:val="auto"/>
                <w:kern w:val="0"/>
                <w:szCs w:val="24"/>
              </w:rPr>
            </w:pPr>
            <w:r>
              <w:rPr>
                <w:rFonts w:cs="宋体"/>
                <w:color w:val="auto"/>
                <w:kern w:val="0"/>
                <w:szCs w:val="24"/>
              </w:rPr>
              <w:t>项</w:t>
            </w:r>
          </w:p>
        </w:tc>
        <w:tc>
          <w:tcPr>
            <w:tcW w:w="684" w:type="dxa"/>
            <w:vAlign w:val="center"/>
          </w:tcPr>
          <w:p w14:paraId="513FF5AB">
            <w:pPr>
              <w:spacing w:before="78" w:line="185" w:lineRule="auto"/>
              <w:ind w:left="0" w:leftChars="0" w:firstLine="0" w:firstLineChars="0"/>
              <w:jc w:val="center"/>
              <w:rPr>
                <w:rFonts w:cs="宋体"/>
                <w:color w:val="auto"/>
                <w:kern w:val="0"/>
                <w:szCs w:val="24"/>
              </w:rPr>
            </w:pPr>
            <w:r>
              <w:rPr>
                <w:rFonts w:cs="宋体"/>
                <w:color w:val="auto"/>
                <w:kern w:val="0"/>
                <w:szCs w:val="24"/>
              </w:rPr>
              <w:t>1</w:t>
            </w:r>
          </w:p>
        </w:tc>
        <w:tc>
          <w:tcPr>
            <w:tcW w:w="1233" w:type="dxa"/>
            <w:vAlign w:val="center"/>
          </w:tcPr>
          <w:p w14:paraId="48FD2A49">
            <w:pPr>
              <w:spacing w:before="78" w:line="220" w:lineRule="auto"/>
              <w:ind w:firstLine="0" w:firstLineChars="0"/>
              <w:jc w:val="center"/>
              <w:rPr>
                <w:rFonts w:hint="eastAsia" w:eastAsia="宋体" w:cs="宋体"/>
                <w:color w:val="auto"/>
                <w:kern w:val="0"/>
                <w:szCs w:val="24"/>
                <w:lang w:eastAsia="zh-CN"/>
              </w:rPr>
            </w:pPr>
            <w:r>
              <w:rPr>
                <w:rFonts w:hint="eastAsia" w:cs="宋体"/>
                <w:color w:val="auto"/>
                <w:spacing w:val="-4"/>
                <w:kern w:val="0"/>
                <w:szCs w:val="24"/>
                <w:lang w:val="en-US" w:eastAsia="zh-CN"/>
              </w:rPr>
              <w:t>服务</w:t>
            </w:r>
          </w:p>
        </w:tc>
        <w:tc>
          <w:tcPr>
            <w:tcW w:w="1583" w:type="dxa"/>
            <w:vAlign w:val="center"/>
          </w:tcPr>
          <w:p w14:paraId="4BF50570">
            <w:pPr>
              <w:spacing w:before="122" w:line="220" w:lineRule="auto"/>
              <w:ind w:firstLine="0" w:firstLineChars="0"/>
              <w:jc w:val="center"/>
              <w:rPr>
                <w:rFonts w:hint="default" w:eastAsia="宋体" w:cs="宋体"/>
                <w:color w:val="auto"/>
                <w:kern w:val="0"/>
                <w:szCs w:val="24"/>
                <w:lang w:val="en-US" w:eastAsia="zh-CN"/>
              </w:rPr>
            </w:pPr>
            <w:r>
              <w:rPr>
                <w:rFonts w:hint="eastAsia" w:cs="宋体"/>
                <w:color w:val="auto"/>
                <w:spacing w:val="-4"/>
                <w:kern w:val="0"/>
                <w:szCs w:val="24"/>
                <w:lang w:val="en-US" w:eastAsia="zh-CN"/>
              </w:rPr>
              <w:t>其他未列明行业</w:t>
            </w:r>
          </w:p>
        </w:tc>
        <w:tc>
          <w:tcPr>
            <w:tcW w:w="2284" w:type="dxa"/>
            <w:vAlign w:val="center"/>
          </w:tcPr>
          <w:p w14:paraId="577B6D00">
            <w:pPr>
              <w:spacing w:before="122" w:line="220" w:lineRule="auto"/>
              <w:ind w:firstLine="0" w:firstLineChars="0"/>
              <w:jc w:val="center"/>
              <w:rPr>
                <w:rFonts w:hint="default" w:eastAsia="宋体" w:cs="宋体"/>
                <w:color w:val="auto"/>
                <w:spacing w:val="-4"/>
                <w:kern w:val="0"/>
                <w:szCs w:val="24"/>
                <w:lang w:val="en-US" w:eastAsia="zh-CN"/>
              </w:rPr>
            </w:pPr>
            <w:r>
              <w:rPr>
                <w:rFonts w:hint="eastAsia" w:cs="宋体"/>
                <w:color w:val="auto"/>
                <w:spacing w:val="-4"/>
                <w:kern w:val="0"/>
                <w:szCs w:val="24"/>
                <w:lang w:val="en-US" w:eastAsia="zh-CN"/>
              </w:rPr>
              <w:t>20日历天（按采购人要求，分批搬运）</w:t>
            </w:r>
          </w:p>
        </w:tc>
      </w:tr>
    </w:tbl>
    <w:p w14:paraId="38190405">
      <w:pPr>
        <w:autoSpaceDE w:val="0"/>
        <w:autoSpaceDN w:val="0"/>
        <w:ind w:firstLine="0" w:firstLineChars="0"/>
        <w:jc w:val="both"/>
        <w:rPr>
          <w:rFonts w:ascii="宋体" w:hAnsi="Times New Roman" w:eastAsia="宋体" w:cs="Times New Roman"/>
          <w:sz w:val="21"/>
          <w:lang w:val="en-US" w:eastAsia="zh-CN" w:bidi="ar-SA"/>
        </w:rPr>
      </w:pPr>
    </w:p>
    <w:p w14:paraId="5DC487CA">
      <w:pPr>
        <w:pStyle w:val="3"/>
        <w:numPr>
          <w:ilvl w:val="0"/>
          <w:numId w:val="10"/>
        </w:numPr>
        <w:ind w:left="0" w:leftChars="0" w:firstLine="0" w:firstLineChars="0"/>
        <w:rPr>
          <w:rFonts w:hint="eastAsia"/>
          <w:sz w:val="24"/>
          <w:szCs w:val="28"/>
        </w:rPr>
      </w:pPr>
      <w:bookmarkStart w:id="446" w:name="_Toc156490321"/>
      <w:bookmarkStart w:id="447" w:name="_Toc163493625"/>
      <w:bookmarkStart w:id="448" w:name="_Toc9690"/>
      <w:bookmarkStart w:id="449" w:name="_Toc11674"/>
      <w:bookmarkStart w:id="450" w:name="_Toc13966"/>
      <w:r>
        <w:rPr>
          <w:rFonts w:hint="eastAsia" w:ascii="宋体" w:hAnsi="宋体" w:cs="Times New Roman"/>
          <w:b/>
          <w:bCs/>
          <w:color w:val="auto"/>
          <w:kern w:val="0"/>
          <w:sz w:val="28"/>
          <w:szCs w:val="28"/>
          <w:lang w:val="en-US" w:eastAsia="zh-CN" w:bidi="ar-SA"/>
        </w:rPr>
        <w:t>采购</w:t>
      </w:r>
      <w:r>
        <w:rPr>
          <w:rFonts w:hint="eastAsia" w:ascii="宋体" w:hAnsi="宋体" w:eastAsia="宋体" w:cs="Times New Roman"/>
          <w:b/>
          <w:bCs/>
          <w:color w:val="auto"/>
          <w:kern w:val="0"/>
          <w:sz w:val="28"/>
          <w:szCs w:val="28"/>
          <w:lang w:val="en-US" w:eastAsia="zh-CN" w:bidi="ar-SA"/>
        </w:rPr>
        <w:t>清单</w:t>
      </w:r>
      <w:bookmarkEnd w:id="446"/>
      <w:bookmarkEnd w:id="447"/>
      <w:r>
        <w:rPr>
          <w:rFonts w:hint="eastAsia"/>
          <w:sz w:val="24"/>
          <w:szCs w:val="28"/>
          <w:lang w:val="en-US" w:eastAsia="zh-CN"/>
        </w:rPr>
        <w:t>---</w:t>
      </w:r>
      <w:r>
        <w:rPr>
          <w:rFonts w:hint="eastAsia"/>
          <w:b w:val="0"/>
          <w:bCs w:val="0"/>
          <w:sz w:val="24"/>
          <w:szCs w:val="28"/>
          <w:lang w:val="en-US" w:eastAsia="zh-CN"/>
        </w:rPr>
        <w:t>见工程量清单附件</w:t>
      </w:r>
      <w:bookmarkEnd w:id="448"/>
      <w:bookmarkEnd w:id="449"/>
      <w:bookmarkEnd w:id="450"/>
    </w:p>
    <w:tbl>
      <w:tblPr>
        <w:tblStyle w:val="26"/>
        <w:tblW w:w="10534" w:type="dxa"/>
        <w:tblInd w:w="-1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2483"/>
        <w:gridCol w:w="4600"/>
        <w:gridCol w:w="1250"/>
        <w:gridCol w:w="1217"/>
      </w:tblGrid>
      <w:tr w14:paraId="3252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C2187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8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7983F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6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43DFE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2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4E1A8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1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431C6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14:paraId="0E74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D9D9D9"/>
            <w:vAlign w:val="center"/>
          </w:tcPr>
          <w:p w14:paraId="387308C5">
            <w:pPr>
              <w:jc w:val="center"/>
              <w:rPr>
                <w:rFonts w:hint="eastAsia" w:ascii="宋体" w:hAnsi="宋体" w:eastAsia="宋体" w:cs="宋体"/>
                <w:i w:val="0"/>
                <w:iCs w:val="0"/>
                <w:color w:val="000000"/>
                <w:sz w:val="20"/>
                <w:szCs w:val="20"/>
                <w:u w:val="none"/>
              </w:rPr>
            </w:pPr>
          </w:p>
        </w:tc>
        <w:tc>
          <w:tcPr>
            <w:tcW w:w="2483"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761A4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不分科室搬运</w:t>
            </w:r>
          </w:p>
        </w:tc>
        <w:tc>
          <w:tcPr>
            <w:tcW w:w="4600"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17316E26">
            <w:pPr>
              <w:jc w:val="left"/>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7C6AAFC7">
            <w:pPr>
              <w:jc w:val="left"/>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10BCFA43">
            <w:pPr>
              <w:jc w:val="right"/>
              <w:rPr>
                <w:rFonts w:hint="eastAsia" w:ascii="宋体" w:hAnsi="宋体" w:eastAsia="宋体" w:cs="宋体"/>
                <w:i w:val="0"/>
                <w:iCs w:val="0"/>
                <w:color w:val="000000"/>
                <w:sz w:val="20"/>
                <w:szCs w:val="20"/>
                <w:u w:val="none"/>
              </w:rPr>
            </w:pPr>
          </w:p>
        </w:tc>
      </w:tr>
      <w:tr w14:paraId="3881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0E4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D8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78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F5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E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r>
      <w:tr w14:paraId="124C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1B4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DC4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3B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A7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2C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193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CEC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F96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单人沙发</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63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单人沙发</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01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2C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2E7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33E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44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校办皮椅</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62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校办皮椅</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85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86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4FD1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889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4CD3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条形会议桌1.2米（旧）</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667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条形会议桌1.2米（旧）</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2F2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3F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616E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157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E7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条形会议桌1.2米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5F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条形会议桌1.2米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44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56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60D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E39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ECB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条形会议桌1.8米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CB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条形会议桌1.8米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D6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19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5DD1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06B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F8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大会议桌一套</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52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大会议桌一套</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B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AE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9F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370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5D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AB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71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75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434F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D3B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DA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F3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A4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52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r>
      <w:tr w14:paraId="2DAD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411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34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办公桌1.4米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A4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办公桌1.4米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EC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04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r>
      <w:tr w14:paraId="4392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5A4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E8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办公桌1.2米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26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办公桌1.2米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76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E4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0130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02D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93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讲台</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71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24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02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BFE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AC5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AE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学生课桌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94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学生课桌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B5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FB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1690</w:t>
            </w:r>
          </w:p>
        </w:tc>
      </w:tr>
      <w:tr w14:paraId="1E67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D86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F6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学生课凳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32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学生课凳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58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78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1679</w:t>
            </w:r>
          </w:p>
        </w:tc>
      </w:tr>
      <w:tr w14:paraId="3DA2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F37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54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木质书柜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7F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木质书柜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CD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16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4465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49E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ABD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综合楼前大石狮</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7F9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1.综合楼前大石狮长1.5m宽1m高2m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2.搭建基座</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6B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C8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61E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83D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71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各科室庄资料纸箱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97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各科室庄资料纸箱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9C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4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r>
      <w:tr w14:paraId="40B9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87C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B8A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图书室装书籍纸箱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80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图书室装书籍纸箱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C5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A3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14:paraId="7CDC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90C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E54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护眼灯</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428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1.护眼灯长120厘米宽30厘米高7厘米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2.包装装箱搬运（内含减震垫)</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EF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94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5B1F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2E2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78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1.5匹挂式空调</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8D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1.5匹挂式空调下50个，安装26个</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2E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CB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E1C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AD4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11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3匹柜式空调</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3C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3匹柜式空调下50台，安装45台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97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65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6EF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89A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D5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5匹柜式空调</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5B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5匹柜式空调下6台，安装6台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46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7F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0AA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D9D9D9"/>
            <w:vAlign w:val="center"/>
          </w:tcPr>
          <w:p w14:paraId="21C01F4C">
            <w:pPr>
              <w:jc w:val="center"/>
              <w:rPr>
                <w:rFonts w:hint="eastAsia" w:ascii="宋体" w:hAnsi="宋体" w:eastAsia="宋体" w:cs="宋体"/>
                <w:i w:val="0"/>
                <w:iCs w:val="0"/>
                <w:color w:val="000000"/>
                <w:sz w:val="20"/>
                <w:szCs w:val="20"/>
                <w:u w:val="none"/>
              </w:rPr>
            </w:pPr>
          </w:p>
        </w:tc>
        <w:tc>
          <w:tcPr>
            <w:tcW w:w="2483"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322DA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分科室搬运清单1-10</w:t>
            </w:r>
          </w:p>
        </w:tc>
        <w:tc>
          <w:tcPr>
            <w:tcW w:w="4600"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310FC39D">
            <w:pPr>
              <w:jc w:val="left"/>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0F458A66">
            <w:pPr>
              <w:jc w:val="left"/>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7DE2F03E">
            <w:pPr>
              <w:jc w:val="right"/>
              <w:rPr>
                <w:rFonts w:hint="eastAsia" w:ascii="宋体" w:hAnsi="宋体" w:eastAsia="宋体" w:cs="宋体"/>
                <w:i w:val="0"/>
                <w:iCs w:val="0"/>
                <w:color w:val="000000"/>
                <w:sz w:val="20"/>
                <w:szCs w:val="20"/>
                <w:u w:val="none"/>
              </w:rPr>
            </w:pPr>
          </w:p>
        </w:tc>
      </w:tr>
      <w:tr w14:paraId="2C72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14D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E64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seewo白板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83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seewo白板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74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E8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A1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25C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2F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04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6F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39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514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62F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04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CE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E5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0E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CAD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114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76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91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3C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F4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861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088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43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演讲台</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2B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A0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EE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1D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9B3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3B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调音设备</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BA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调音设备4根天线，8个机器和铁箱1个。</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FF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93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D2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B92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7C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4B0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65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C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768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39B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E29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B9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ED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A7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A5C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6A3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18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调音设备</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EF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调音设备4个机器和铁箱1个。</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45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20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1A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FCB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29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6D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05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40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2CD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0E0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00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A15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音柱两大一小</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A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03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ABB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C9F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3B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黑板檫</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6F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黑板檫</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E4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18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3B1C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D23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2A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电线插板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D68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电线插板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C5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BC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94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35F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A7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54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41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A1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80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93A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1E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51A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和交换机一起4＋大办公室7+曾校长办公室1+机房2+录播室1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FF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B9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49B8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8B5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B0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06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综合楼4楼信息办</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D6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14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35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660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D7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D5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教学楼3＋综合楼1＋机房14</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8D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50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45F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20E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76A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5F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E1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20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D4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D56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99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A9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62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C0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2E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CEE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86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电视（旧）</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06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电视（旧）</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33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CC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96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939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BF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小米电视65英寸（新）</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34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小米电视65英寸（新）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7D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A0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4A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D3E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5A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新录播设备</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8E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新录播设备</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33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34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BCD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A40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B625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可移动小黑板（有架子）</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98A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可移动小黑板（有架子）</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14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1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54C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389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E045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可移动小白板（有架子）</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12A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可移动小白板（有架子）</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CA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02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57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3C9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7B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A4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2F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9C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04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3E4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1C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不锈钢洗手水池</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57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不锈钢洗手水池</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CC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9F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04C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2BD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1B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折叠会议桌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DF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折叠会议桌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ED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88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CAD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48C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978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长木质板凳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EC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长木质板凳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45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39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899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668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3B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吊扇</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B9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吊扇</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09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98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ABE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C94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5D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木质单梯（3米）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21D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木质单梯（3米）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12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58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50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B0C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AF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铝合金架梯（2.8米）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3E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铝合金架梯（2.8米）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C3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C7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24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001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A2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铝合金架梯（2.5米）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6C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铝合金架梯（2.5米）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6D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A2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64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86D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B7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木质单梯（4.5米）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010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木质单梯（4.5米）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C7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6C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70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7DF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21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铝合金架梯（2.8米）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925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铝合金架梯（2.8米）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48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57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90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56B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47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铁质高架梯（5米）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30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铁质高架梯（5米）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55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40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58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537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5A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铁质斗车</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EC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铁质斗车</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96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17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726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798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F95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铁板车</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3E5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铁板车</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8F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DC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9D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D83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F99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木质单梯（4.5米）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9C0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木质单梯（4.5米）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D7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0D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CF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FA5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FE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磅秤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C3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磅秤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DB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6F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23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F77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9E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保温车</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89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保温车210*70*80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AB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F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6F1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A25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16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美的冰柜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81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美的冰柜190*120*71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DA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1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D4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FFA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89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不锈钢餐盘</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5CF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不锈钢餐盘</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30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57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65EF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A27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F9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不锈钢操作台（大）</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68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不锈钢操作台（大）181*81*81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9B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CC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6ACA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64E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4D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不锈钢操作台（小）</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A0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不锈钢操作台（小）150*70*80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B7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B9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492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4AE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D4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不锈钢层次架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1F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不锈钢层次架150*150*50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23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B7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0E0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BC8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3B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不锈钢操作柜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62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不锈钢操作柜181*81*140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5F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C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B1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479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BFE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不锈钢双槽水池</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F6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不锈钢双槽水池140*70*80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7B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36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C7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5A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1C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EF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不锈钢柜180*80*80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DD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04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57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182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7F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2A23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新：120*桌面60（桌脚150）*80  54个、  旧：110*桌面60（桌脚140）*80  72个</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19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1F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r>
      <w:tr w14:paraId="38FC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A54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E3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FF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3E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48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3E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E15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5E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49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63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A5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5F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253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C0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大型消毒柜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DE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190*135*60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BB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5C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962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3D7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23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ED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200*90*30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5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D5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FD8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D03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AE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筷子消毒柜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0C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70*80*42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16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9A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2E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7C5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6F5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切肉大砧板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B5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切肉大砧板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10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54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41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161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9F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8E3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2大1小</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68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E8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DCF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7D5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D6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大高压锅</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0C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大高压锅</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00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E7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37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668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CB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电子磅称</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F7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165*100*55</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D3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C70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5E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C20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AB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留样冰箱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41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85*75*50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6E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D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A9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CF6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A8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升降拖车</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6E1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165*100*55</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A0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76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F7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C7E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8D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和面机</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52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75*85*50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66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C5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07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6E8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1D5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飞利浦1020打印机</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7F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飞利浦1020打印机</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79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6A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CE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F09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BB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电线插板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57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电线插板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96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D2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02E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D17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0A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取暖器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DB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取暖器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7B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15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9C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9FF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51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39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35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BC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27B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D37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9D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FC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00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A4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30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D9D9D9"/>
            <w:vAlign w:val="center"/>
          </w:tcPr>
          <w:p w14:paraId="7C6F7DE1">
            <w:pPr>
              <w:jc w:val="center"/>
              <w:rPr>
                <w:rFonts w:hint="eastAsia" w:ascii="宋体" w:hAnsi="宋体" w:eastAsia="宋体" w:cs="宋体"/>
                <w:i w:val="0"/>
                <w:iCs w:val="0"/>
                <w:color w:val="000000"/>
                <w:sz w:val="20"/>
                <w:szCs w:val="20"/>
                <w:u w:val="none"/>
              </w:rPr>
            </w:pPr>
          </w:p>
        </w:tc>
        <w:tc>
          <w:tcPr>
            <w:tcW w:w="2483"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2317D3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分科室搬运清单11-20</w:t>
            </w:r>
          </w:p>
        </w:tc>
        <w:tc>
          <w:tcPr>
            <w:tcW w:w="4600"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6E9B0597">
            <w:pPr>
              <w:jc w:val="left"/>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16FD7149">
            <w:pPr>
              <w:jc w:val="left"/>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29E436B8">
            <w:pPr>
              <w:jc w:val="right"/>
              <w:rPr>
                <w:rFonts w:hint="eastAsia" w:ascii="宋体" w:hAnsi="宋体" w:eastAsia="宋体" w:cs="宋体"/>
                <w:i w:val="0"/>
                <w:iCs w:val="0"/>
                <w:color w:val="000000"/>
                <w:sz w:val="20"/>
                <w:szCs w:val="20"/>
                <w:u w:val="none"/>
              </w:rPr>
            </w:pPr>
          </w:p>
        </w:tc>
      </w:tr>
      <w:tr w14:paraId="0B08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FE5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7D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08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8E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A4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B0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4E4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A8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长椅</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DD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长椅</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6C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8A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14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A75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E92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6E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8A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ED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DC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3B7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58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20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D6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5A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581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56E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68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三座沙发</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0B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三座沙发</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0F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1E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DE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028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36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钢制落地置物架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A3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钢制落地置物架两列，每列六层</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FA3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13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35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DE4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AE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D6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53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E5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77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3BA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24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单人布艺沙发</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6B9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单人布艺沙发</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CA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76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3D2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BBD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EF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木质圆桌茶几</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DB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木质圆桌茶几</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0F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8A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ED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28A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3F1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木质心理沙盘桌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1D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木质心理沙盘桌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8C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65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E9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CB2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206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木质沙具陈列柜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BF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木质沙具陈列柜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5F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C8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69F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743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27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沙具</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B4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沙具</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1C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BF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44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2B3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D5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装饰画</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A9B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装饰画</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BD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70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4EB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D0A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E9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宣泄假人</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22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宣泄假人</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4B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C9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60C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371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674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宣泄球</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E6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宣泄球</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AD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C0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E9D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043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2E1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宣泄棒</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55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宣泄棒</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64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1B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DAC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F5B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AD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皮质收纳箱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89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皮质收纳箱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CC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2B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8B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49F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1CB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27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3B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27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5925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986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3D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置物架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EB9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置物架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81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53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EA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D5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07D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打卡机</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FC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打卡机</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F8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C9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3B1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92B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E4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DE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C6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0B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C81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8BB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AB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6D5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0E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42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8D0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F04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D7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9D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C6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67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5CB9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F41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A1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838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1.搬运：70（2楼）+109（4楼）+67（旧）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2.打包（含木框架、纸箱、减震气垫）</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0A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B6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r>
      <w:tr w14:paraId="7537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F11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6F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A3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150×55×70   综合楼2楼新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FD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81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27B1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CA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D5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108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80×60×70 （108张）120×65×85（2张）         综合楼4楼新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A0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A7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14:paraId="1380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946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D7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7F6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88×60×70   综合楼4楼旧</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59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BD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488D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AF6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BE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凳子</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63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凳子</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63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ED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r>
      <w:tr w14:paraId="2510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16A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30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7F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F9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D9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14:paraId="45B0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F15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21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美术画凳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48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美术画凳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5C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C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14:paraId="20E7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9CE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69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铁架台</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4C4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铁架台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51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83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92C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F1F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63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87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B0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6C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C92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CC3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DF0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铁夹</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F98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铁夹</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76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95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40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4CA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86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铁三角架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64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铁三角架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67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F7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FDA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79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BB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80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98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C2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917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051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A63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C9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92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9E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1CA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7DE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7D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磁铁</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DB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磁铁</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36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FA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5B1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BE4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9A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8C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8C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DF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255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344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04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EE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5F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3A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62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EBD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01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布氏漏斗</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C7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布氏漏斗</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18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0B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B08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B66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8D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A4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39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AB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926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F83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B6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89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A0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76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0789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89B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CB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72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3A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F7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62B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55E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2E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坩埚</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E9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坩埚</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8C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B4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4E18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6FF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F2B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干燥管</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15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干燥管</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18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89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4E7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4A8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B1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02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8E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90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B7A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F22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DC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胶头滴管</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C92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胶头滴管</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A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80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D95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B2D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9B4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直形冷凝管</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00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直形冷凝管</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89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CA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49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9C1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34F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F1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6A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B1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7B2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C9C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42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876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16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BF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12A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2D7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A6B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玻棒</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37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玻棒</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10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C3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625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C3F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8D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26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08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D6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949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B7D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C4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76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AB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D0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DBD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5E2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C4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43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04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67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C22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696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ED4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酸碱滴定管</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39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酸碱滴定管</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E3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F7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5A7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6E4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84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圆底烧瓶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F4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圆底烧瓶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42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EB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450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36A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97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二氧化氮球</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9B2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二氧化氮球</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57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75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69FA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908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489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硝酸</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DB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硝酸</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1E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0C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A81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60F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B49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盐酸</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BF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盐酸</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86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27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EB5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FA8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0F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AB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34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7D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9E3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ECA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B1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无水酒精</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00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无水酒精</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3F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D8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81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E39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AC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医用酒精</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71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医用酒精</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23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D7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EEC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6BA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CB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234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59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CD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FE4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7A6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5C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氢氧化钾</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2D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氢氧化钾</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85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7B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3FC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AA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AE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双氧水</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D3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双氧水</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F8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F5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57B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DA1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82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还原铁粉</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84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还原铁粉</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17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73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54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7B0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59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硫粉</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75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硫粉</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DD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CF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D7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231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80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D5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7E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61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BB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261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D6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汞</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1A5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汞</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9E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76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4D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FF3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EA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高锰酸钾</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DA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高锰酸钾</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CA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A8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60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916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36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二氧化锰</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F57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10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1E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B3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219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75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重铬酸钾</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8F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重铬酸钾</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DB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4B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50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4AD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44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8A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8B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F4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A59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371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F2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21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6D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B8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8F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B45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AB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65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74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F4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3C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0CE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E9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氯化钡</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1E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氯化钡</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93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6F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4E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5F2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00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溴化钾</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14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溴化钾</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75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43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DD2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D02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B8F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氯化铵</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4D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氯化铵</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DF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92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7A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79D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81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碘化钾</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55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碘化钾</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5E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7C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5D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CBA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40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碳酸锂</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15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碳酸锂</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9C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DC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7D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DBF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41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氧化铁</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1E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氧化铁</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70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CD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AA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DF4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FE7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67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93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46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9B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72A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54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草酸</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FB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草酸</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4A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C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8E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22E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2C7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33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25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F8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F8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9F4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9C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33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72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B8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48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AB3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FF8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29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8D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44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3B8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E29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470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篮球比赛计时计分LED大屏</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48E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1个主屏2个控制台、3根电源线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19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29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03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28C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43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电子发令枪</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31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电子发令枪</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4E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1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2A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CE4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F5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铅球（7.26公斤）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8F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铅球（7.26公斤）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6A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A0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4C4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CA4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B8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铅球（6公斤）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92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铅球（6公斤）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49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2F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60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DD6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80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铅球（5公斤）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0E3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铅球（5公斤）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0C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66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695B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4EC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A7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铁饼（4公斤）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4D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铁饼（4公斤）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B0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59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3280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846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91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铁饼（1公斤）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68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铁饼（1公斤）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9F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CC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9C9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B51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6C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标枪（800克）</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150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标枪（800克）</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D1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E1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CBD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FCD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E1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标枪（600克）</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0D7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标枪（600克）</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E4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1C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5FC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DB4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66A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杠铃杆</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57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杠铃杆</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D8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F1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1FB4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BB7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8D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杠铃片（5公斤）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56A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杠铃片（5公斤）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1C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39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01E3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79F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94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杠铃片（7.5公斤）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1E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杠铃片（7.5公斤）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D8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6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2E2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76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E6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杠铃片（10公斤）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A9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杠铃片（10公斤）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95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5D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EC2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C3A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48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杠铃片（15公斤）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1C4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杠铃片（15公斤）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7D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93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345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F2D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35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旧杠铃片</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B2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旧杠铃片</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0D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20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2355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97E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9F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起跑器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0B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起跑器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25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AC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C4F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EC6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DA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铝合金接力棒</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4C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铝合金接力棒</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FA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B8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59F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9AC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C6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A1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75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B5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314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56E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34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跳高架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39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跳高架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5D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89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67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D4D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E2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跳高横杆</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6D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跳高横杆</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DA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B4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9BF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A00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2E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跳高海绵垫</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522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跳高海绵垫</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66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DD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0BC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06B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27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体操垫</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43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体操垫</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DD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4F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1A0D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832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67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铅球投掷抵制板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64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铅球投掷抵制板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7D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1B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A59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D14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55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皮尺</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8F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皮尺</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93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D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6D8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6BD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D5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运动会用班牌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2D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运动会用班牌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8F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14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0B80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6A4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F8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运动会用彩旗</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CDA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运动会用彩旗</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5F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67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4702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01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A12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卧推架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16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卧推架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F45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E1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521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DA9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78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投掷用小铁旗</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20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投掷用小铁旗</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8F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E7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4D9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7EC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B42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运动会用小彩旗</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73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运动会用小彩旗</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45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D1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6D98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BB4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E5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运动会用铁质烟屏</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45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运动会用铁质烟屏</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7C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1E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FF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028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DB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手动打气筒</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93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手动打气筒</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A8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14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AD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42E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96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电动打气筒</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ED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电动打气筒</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7F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C9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66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D84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D9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篮球计分架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3E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篮球计分架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E6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2F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990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149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22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小型记分牌</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31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小型记分牌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F4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57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87D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5C7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AE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装运球铁筐</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78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装运球铁筐</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39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79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BBC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E74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52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拔河绳</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E6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拔河绳</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EC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56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F7F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037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2A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分边服</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01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分边服</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5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22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1BA4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BBF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FBA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跨栏架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90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跨栏架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82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25A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309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CD8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D6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足球训练塑料标志杆</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BB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足球训练塑料标志杆</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B4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02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24F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431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73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实心球</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BC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实心球</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FF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F8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A16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73E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C04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握力器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10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握力器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B3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16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2C2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342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9C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铁质标志杆座带杆</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3A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铁质标志杆座带杆</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F2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BF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5850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BAD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4F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水泥标志杆座带杆</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AC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水泥标志杆座带杆</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58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BA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0A39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4F0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E6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塑料装球拍箱子</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E4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塑料装球拍箱子</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660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90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594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31E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D15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身高体重测试仪器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808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身高体重测试仪器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FC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95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CE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B2B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29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坐位体前测试仪器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68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坐位体前测试仪器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CC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66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E9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5BB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11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安全路标</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11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安全路标</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E8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90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21F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AA2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1C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铝合金撑杆跳杆</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9B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铝合金撑杆跳杆</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59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B2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79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ABF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6D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室内用乒乓球台</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F4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室内用乒乓球台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C6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73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70A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2C0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D4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场地推水器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B8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场地推水器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1E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CE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27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C74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23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多功能健身器材</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89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多功能健身器材</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80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1E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DE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1BB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256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气排球场LED照明灯</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71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气排球场LED照明灯</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03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68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9FB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8BF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07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计时架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75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计时架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42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C7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12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DE5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300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21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5F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A1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24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BB1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E5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F7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FE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7D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689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D9D9D9"/>
            <w:vAlign w:val="center"/>
          </w:tcPr>
          <w:p w14:paraId="40511FB6">
            <w:pPr>
              <w:jc w:val="center"/>
              <w:rPr>
                <w:rFonts w:hint="eastAsia" w:ascii="宋体" w:hAnsi="宋体" w:eastAsia="宋体" w:cs="宋体"/>
                <w:i w:val="0"/>
                <w:iCs w:val="0"/>
                <w:color w:val="000000"/>
                <w:sz w:val="20"/>
                <w:szCs w:val="20"/>
                <w:u w:val="none"/>
              </w:rPr>
            </w:pPr>
          </w:p>
        </w:tc>
        <w:tc>
          <w:tcPr>
            <w:tcW w:w="2483"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0F88EF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分科室搬运清单21-31</w:t>
            </w:r>
          </w:p>
        </w:tc>
        <w:tc>
          <w:tcPr>
            <w:tcW w:w="4600"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5064F000">
            <w:pPr>
              <w:jc w:val="left"/>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0DB6E7EF">
            <w:pPr>
              <w:jc w:val="left"/>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D9D9D9"/>
            <w:vAlign w:val="center"/>
          </w:tcPr>
          <w:p w14:paraId="57ABEA3B">
            <w:pPr>
              <w:jc w:val="right"/>
              <w:rPr>
                <w:rFonts w:hint="eastAsia" w:ascii="宋体" w:hAnsi="宋体" w:eastAsia="宋体" w:cs="宋体"/>
                <w:i w:val="0"/>
                <w:iCs w:val="0"/>
                <w:color w:val="000000"/>
                <w:sz w:val="20"/>
                <w:szCs w:val="20"/>
                <w:u w:val="none"/>
              </w:rPr>
            </w:pPr>
          </w:p>
        </w:tc>
      </w:tr>
      <w:tr w14:paraId="301F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C84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CB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监控交换机柜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31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监控交换机柜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09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48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A3C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0D6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65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监控显示屏</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C1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监控显示屏</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6E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C8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86E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D8F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70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监控探头</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D9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监控探头45（综）+44（教）</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EE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8E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r>
      <w:tr w14:paraId="2919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9B4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90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33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CA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F3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84C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82D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97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楼道交换机柜</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D6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楼道交换机柜</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10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F5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E55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A95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C5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教室广播（黑色音响）</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83C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教室广播（黑色音响）</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46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C3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526F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8EE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D19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金属探测仪</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A0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金属探测仪</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78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F2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76C0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E8D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18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屏蔽仪</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11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屏蔽仪含插线头</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C9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38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78BB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100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3B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教室钟表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96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教室钟表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D4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00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7BD3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7F5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96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教室门锁钥匙</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1D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教室门锁钥匙</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99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37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F72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F22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CB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3人坐沙发</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AA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3人坐沙发</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B2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3F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5B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6A9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3D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空调遥控器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814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空调遥控器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2F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FA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7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F69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B1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E0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50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D9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9C7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851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6A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考试铃铛铁锤</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04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考试铃铛铁锤</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49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DE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34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096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76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猫</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17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猫</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8A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6B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FA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2E5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5A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照相套装</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4E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照相套装含摄像头与支架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C3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F0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34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FE4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715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身份证扫描仪</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55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身份证扫描仪</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1C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17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6A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EB9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37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电子打光板</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247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电子打光板含打光板与支架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89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D1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6A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A22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4C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B5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办公用品文件袋、订书机、鱼尾夹等</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4B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01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68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0E8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8D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A2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09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7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D73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0A1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75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AE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70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85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62A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E8D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79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分类垃圾桶</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94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分类垃圾桶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96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C0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522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390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FCD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移动音箱贝德红旗1283</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D5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移动音箱贝德红旗1283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1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49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87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4D9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69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长距离插座</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72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长距离插座</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BC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BF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8D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015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90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会议主持台</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36A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会议主持台</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DD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6C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BD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D0B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39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物品储存箱</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9A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物品储存箱</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54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8F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7FB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A6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42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48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CF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C0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E5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E74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43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广播室无线功放</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896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无线发射机一台，5个无线音柱，1组天线</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C6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85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75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E16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A7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看台广播设备</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A51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功放1个、音柱2个、无线话筒接收器1台、无线话筒8个、电线2根</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5D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60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49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B54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BA7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跑操智能播放器</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AA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跑操智能播放器</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EC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65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24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A86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AE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“微型消防站”</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4AA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铁皮玻璃柜，内有两整套消防应急装备（1、两套消防战斗服，各包含头盔、防火衣裤、手套、腰带、靴子共5件；2、自救呼吸器两个；3、20米长安全绳一根；4、消防斧一把；5、绝缘钢丝钳一把；6、水枪两套，各包含水带、接扣、枪头；7、4kg干粉灭火器两瓶；8、喊话器一把；9、灭火毯两床；10、消防手电一把。）</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FAB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07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A6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026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80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人脸识别门禁</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E1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外门房内、外人脸识别机</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7B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81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F9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1F1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70C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保安设备</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0A2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保安八件套包含防爆刚盔两顶、防刺服两套、防刺手套三双、防暴钢叉一把、防爆抓捕器两把、防爆盾牌一块、警棍两根、辣椒水喷雾两瓶（附腰带）；2、其他安保设备包含金属探测仪两把、对讲机五个、普通保安帽两顶、软管锁两把、家长值班反光背心三件、灭火器两瓶；</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69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EE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AC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5CA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4E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外校门监控显示系统</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327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监控校园内部，位于外门房有监控显示屏和信号集成转换机</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1D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7D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A9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0D9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901D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外校门室外监控摄像头</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24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监控校园（内含8个付费联省网监控摄像头）</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E9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1C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4282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94E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D3C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防撞石墩</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28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直径50厘米共九个</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22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A3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89A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E7C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D1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可移动防撞拒马</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D2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可移动防撞拒马</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A0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EA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C3C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220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2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43B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黑板檫</w:t>
            </w:r>
          </w:p>
        </w:tc>
        <w:tc>
          <w:tcPr>
            <w:tcW w:w="4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69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黑板檫</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AC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60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bl>
    <w:p w14:paraId="24F58A6B">
      <w:pPr>
        <w:ind w:left="0" w:leftChars="0" w:firstLine="0" w:firstLineChars="0"/>
      </w:pPr>
    </w:p>
    <w:p w14:paraId="572C3A50">
      <w:pPr>
        <w:pStyle w:val="3"/>
        <w:numPr>
          <w:ilvl w:val="0"/>
          <w:numId w:val="0"/>
        </w:numPr>
        <w:ind w:leftChars="0"/>
      </w:pPr>
      <w:bookmarkStart w:id="451" w:name="_Toc163493629"/>
      <w:bookmarkStart w:id="452" w:name="_Toc156490325"/>
      <w:bookmarkStart w:id="453" w:name="_Toc22676"/>
      <w:bookmarkStart w:id="454" w:name="_Toc25441"/>
      <w:bookmarkStart w:id="455" w:name="_Toc6560"/>
      <w:r>
        <w:rPr>
          <w:rFonts w:hint="eastAsia"/>
          <w:lang w:val="en-US" w:eastAsia="zh-CN"/>
        </w:rPr>
        <w:t>三、服务</w:t>
      </w:r>
      <w:r>
        <w:rPr>
          <w:rFonts w:hint="eastAsia"/>
        </w:rPr>
        <w:t>要求</w:t>
      </w:r>
      <w:bookmarkEnd w:id="451"/>
      <w:bookmarkEnd w:id="452"/>
      <w:bookmarkEnd w:id="453"/>
      <w:bookmarkEnd w:id="454"/>
      <w:bookmarkEnd w:id="455"/>
    </w:p>
    <w:p w14:paraId="4F9D3C23">
      <w:pPr>
        <w:pStyle w:val="3"/>
        <w:keepNext w:val="0"/>
        <w:keepLines w:val="0"/>
        <w:tabs>
          <w:tab w:val="left" w:pos="1080"/>
        </w:tabs>
        <w:overflowPunct w:val="0"/>
        <w:spacing w:before="0" w:after="0" w:line="360" w:lineRule="auto"/>
        <w:ind w:firstLine="480" w:firstLineChars="200"/>
        <w:jc w:val="left"/>
        <w:outlineLvl w:val="2"/>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1、搬运及交付安装地点:物品搬运从潜江市竹泽路20号校区搬至潜江市章华南路刘岭街3号,新旧校区最高楼层均为5楼，详细地点由采购人指定。成交供应商将设备拆卸和运输到采购人指定地点，并负责设备的组装、调试，直至验收合格投入使用。搬运、拆装调试所用的工具由供应商自备。</w:t>
      </w:r>
    </w:p>
    <w:p w14:paraId="1C3495E9">
      <w:pPr>
        <w:pStyle w:val="3"/>
        <w:keepNext w:val="0"/>
        <w:keepLines w:val="0"/>
        <w:numPr>
          <w:ilvl w:val="0"/>
          <w:numId w:val="0"/>
        </w:numPr>
        <w:tabs>
          <w:tab w:val="left" w:pos="1080"/>
        </w:tabs>
        <w:overflowPunct w:val="0"/>
        <w:spacing w:before="0" w:after="0" w:line="360" w:lineRule="auto"/>
        <w:ind w:firstLine="480" w:firstLineChars="200"/>
        <w:jc w:val="left"/>
        <w:outlineLvl w:val="2"/>
        <w:rPr>
          <w:rFonts w:hint="eastAsia" w:ascii="宋体" w:hAnsi="宋体" w:cs="宋体"/>
          <w:b/>
          <w:bCs w:val="0"/>
          <w:color w:val="auto"/>
          <w:sz w:val="24"/>
          <w:szCs w:val="24"/>
          <w:lang w:val="en-US" w:eastAsia="zh-CN"/>
        </w:rPr>
      </w:pPr>
      <w:r>
        <w:rPr>
          <w:rFonts w:hint="eastAsia" w:ascii="宋体" w:hAnsi="宋体" w:cs="宋体"/>
          <w:b w:val="0"/>
          <w:bCs/>
          <w:color w:val="auto"/>
          <w:sz w:val="24"/>
          <w:szCs w:val="24"/>
          <w:lang w:val="en-US" w:eastAsia="zh-CN"/>
        </w:rPr>
        <w:t>2、供应商在接到采购人通知后，必须在24小时内响应并派工到现场</w:t>
      </w:r>
      <w:r>
        <w:rPr>
          <w:rFonts w:hint="eastAsia" w:ascii="宋体" w:hAnsi="宋体" w:cs="宋体"/>
          <w:b/>
          <w:bCs w:val="0"/>
          <w:color w:val="auto"/>
          <w:sz w:val="24"/>
          <w:szCs w:val="24"/>
          <w:lang w:val="en-US" w:eastAsia="zh-CN"/>
        </w:rPr>
        <w:t>。</w:t>
      </w:r>
    </w:p>
    <w:p w14:paraId="611F52E8">
      <w:pPr>
        <w:pStyle w:val="3"/>
        <w:keepNext w:val="0"/>
        <w:keepLines w:val="0"/>
        <w:numPr>
          <w:ilvl w:val="0"/>
          <w:numId w:val="0"/>
        </w:numPr>
        <w:tabs>
          <w:tab w:val="left" w:pos="1080"/>
        </w:tabs>
        <w:overflowPunct w:val="0"/>
        <w:spacing w:before="0" w:after="0" w:line="360" w:lineRule="auto"/>
        <w:ind w:firstLine="482" w:firstLineChars="200"/>
        <w:jc w:val="left"/>
        <w:outlineLvl w:val="2"/>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3、在接到应急搬运任务后，供应商服务人员应能在1小时内响应、2小时内搬运人员及车辆到达现场。</w:t>
      </w:r>
    </w:p>
    <w:p w14:paraId="4C6D763B">
      <w:pPr>
        <w:pStyle w:val="3"/>
        <w:keepNext w:val="0"/>
        <w:keepLines w:val="0"/>
        <w:numPr>
          <w:ilvl w:val="0"/>
          <w:numId w:val="11"/>
        </w:numPr>
        <w:tabs>
          <w:tab w:val="left" w:pos="1080"/>
        </w:tabs>
        <w:overflowPunct w:val="0"/>
        <w:spacing w:before="0" w:after="0" w:line="360" w:lineRule="auto"/>
        <w:ind w:firstLine="480" w:firstLineChars="200"/>
        <w:jc w:val="left"/>
        <w:outlineLvl w:val="2"/>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投标供应商必须提供详细搬运、安装方案（包含但不限于搬迁人员组成、运输方式及工具，特殊设备的拆卸、安装调试程序，安全措施、风险控制、时间安排等）。</w:t>
      </w:r>
    </w:p>
    <w:p w14:paraId="019438B7">
      <w:pPr>
        <w:pStyle w:val="3"/>
        <w:keepNext w:val="0"/>
        <w:keepLines w:val="0"/>
        <w:tabs>
          <w:tab w:val="left" w:pos="1080"/>
        </w:tabs>
        <w:overflowPunct w:val="0"/>
        <w:spacing w:before="0" w:after="0" w:line="360" w:lineRule="auto"/>
        <w:ind w:firstLine="480" w:firstLineChars="200"/>
        <w:jc w:val="left"/>
        <w:outlineLvl w:val="2"/>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5、投标供应商必须保障搬运过程中的人员和设备安全，需配备安全员并签订安全协议。设备搬运、安装和验收期间应采取严格的安全措施，承担由于自身原因所造成的安全事故责任及其发生的一切费用。</w:t>
      </w:r>
    </w:p>
    <w:p w14:paraId="74A82762">
      <w:pPr>
        <w:pStyle w:val="3"/>
        <w:numPr>
          <w:ilvl w:val="0"/>
          <w:numId w:val="0"/>
        </w:numPr>
        <w:ind w:leftChars="0"/>
        <w:rPr>
          <w:rFonts w:hint="eastAsia" w:eastAsia="宋体"/>
          <w:lang w:val="en-US" w:eastAsia="zh-CN"/>
        </w:rPr>
      </w:pPr>
      <w:r>
        <w:rPr>
          <w:rFonts w:hint="eastAsia" w:eastAsia="宋体"/>
          <w:lang w:val="en-US" w:eastAsia="zh-CN"/>
        </w:rPr>
        <w:t>四、报价要求</w:t>
      </w:r>
    </w:p>
    <w:p w14:paraId="251F6BAE">
      <w:pPr>
        <w:pStyle w:val="3"/>
        <w:keepNext w:val="0"/>
        <w:keepLines w:val="0"/>
        <w:numPr>
          <w:ilvl w:val="0"/>
          <w:numId w:val="12"/>
        </w:numPr>
        <w:tabs>
          <w:tab w:val="left" w:pos="1080"/>
        </w:tabs>
        <w:overflowPunct w:val="0"/>
        <w:spacing w:before="0" w:after="0" w:line="360" w:lineRule="auto"/>
        <w:ind w:firstLine="480" w:firstLineChars="20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lang w:val="en-US" w:eastAsia="zh-CN"/>
        </w:rPr>
        <w:t>投标供应商的报价应包含完成谈判文件提出的服务的搬运费、运输费、拆卸费、包装费、安装费、售后服务费、税金等全部相关工作所有可能发生的费用。成交供应商将负责项目全部设备的拆卸、搬运、安装、调试及其他售后服务等全部相关工作，对在合同实施过程中可能发生的其它费用(如:增加耗材、材料涨价、人工、运输成本增</w:t>
      </w:r>
      <w:r>
        <w:rPr>
          <w:rFonts w:hint="eastAsia" w:ascii="宋体" w:hAnsi="宋体" w:cs="宋体"/>
          <w:b w:val="0"/>
          <w:bCs/>
          <w:color w:val="auto"/>
          <w:sz w:val="24"/>
          <w:szCs w:val="24"/>
          <w:highlight w:val="none"/>
          <w:lang w:val="en-US" w:eastAsia="zh-CN"/>
        </w:rPr>
        <w:t>加等因素)，采购人概不负责。</w:t>
      </w:r>
    </w:p>
    <w:p w14:paraId="31570F14">
      <w:pPr>
        <w:pStyle w:val="3"/>
        <w:keepNext w:val="0"/>
        <w:keepLines w:val="0"/>
        <w:numPr>
          <w:ilvl w:val="0"/>
          <w:numId w:val="0"/>
        </w:numPr>
        <w:tabs>
          <w:tab w:val="left" w:pos="1080"/>
        </w:tabs>
        <w:overflowPunct w:val="0"/>
        <w:spacing w:before="0" w:after="0" w:line="360" w:lineRule="auto"/>
        <w:ind w:firstLine="480" w:firstLineChars="200"/>
        <w:jc w:val="left"/>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投标供应商所投标的报价不得严重偏离目前实际水平，更不得低于成本</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若低于预算金额的70%时，须在投标文件中提供货物、人力成本售后服务等一切应预见和不可预见费用的成本分析报告。如未能提交成本分析报告或所提交的报告与实际情况不符，则作无效投标处理。</w:t>
      </w:r>
    </w:p>
    <w:p w14:paraId="46D6B1DC">
      <w:pPr>
        <w:rPr>
          <w:rFonts w:hint="eastAsia"/>
          <w:color w:val="auto"/>
          <w:highlight w:val="none"/>
          <w:lang w:val="en-US" w:eastAsia="zh-CN"/>
        </w:rPr>
      </w:pPr>
    </w:p>
    <w:p w14:paraId="2AD51AB9">
      <w:pPr>
        <w:pStyle w:val="3"/>
        <w:numPr>
          <w:ilvl w:val="0"/>
          <w:numId w:val="0"/>
        </w:numPr>
        <w:ind w:leftChars="0"/>
        <w:rPr>
          <w:rFonts w:hint="eastAsia" w:eastAsia="宋体"/>
          <w:lang w:val="en-US" w:eastAsia="zh-CN"/>
        </w:rPr>
      </w:pPr>
      <w:r>
        <w:rPr>
          <w:rFonts w:hint="eastAsia" w:eastAsia="宋体"/>
          <w:lang w:val="en-US" w:eastAsia="zh-CN"/>
        </w:rPr>
        <w:t>五、验收与结算</w:t>
      </w:r>
    </w:p>
    <w:p w14:paraId="74CDB177">
      <w:pPr>
        <w:pStyle w:val="3"/>
        <w:keepNext w:val="0"/>
        <w:keepLines w:val="0"/>
        <w:tabs>
          <w:tab w:val="left" w:pos="1080"/>
        </w:tabs>
        <w:overflowPunct w:val="0"/>
        <w:spacing w:before="0" w:after="0" w:line="360" w:lineRule="auto"/>
        <w:ind w:firstLine="480" w:firstLineChars="200"/>
        <w:jc w:val="left"/>
        <w:outlineLvl w:val="2"/>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验收严格依照国家相关规定文件执行，安装调试完毕后，中标方应通知采购方组织验收。</w:t>
      </w:r>
    </w:p>
    <w:p w14:paraId="6396890D">
      <w:pPr>
        <w:pStyle w:val="3"/>
        <w:keepNext w:val="0"/>
        <w:keepLines w:val="0"/>
        <w:tabs>
          <w:tab w:val="left" w:pos="1080"/>
        </w:tabs>
        <w:overflowPunct w:val="0"/>
        <w:spacing w:before="0" w:after="0" w:line="360" w:lineRule="auto"/>
        <w:ind w:firstLine="480" w:firstLineChars="200"/>
        <w:jc w:val="left"/>
        <w:outlineLvl w:val="2"/>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2、验收方式：成交供应商</w:t>
      </w:r>
      <w:r>
        <w:rPr>
          <w:rFonts w:hint="eastAsia" w:ascii="宋体" w:hAnsi="宋体" w:eastAsia="宋体" w:cs="宋体"/>
          <w:b w:val="0"/>
          <w:bCs/>
          <w:color w:val="auto"/>
          <w:sz w:val="24"/>
          <w:szCs w:val="24"/>
          <w:highlight w:val="none"/>
          <w:lang w:val="en-US" w:eastAsia="zh-CN"/>
        </w:rPr>
        <w:t>将搬运的设备拆卸后全部送达采购人指定地点。所有设备运抵采购人指定地点</w:t>
      </w:r>
      <w:r>
        <w:rPr>
          <w:rFonts w:hint="eastAsia" w:ascii="宋体" w:hAnsi="宋体" w:cs="宋体"/>
          <w:b w:val="0"/>
          <w:bCs/>
          <w:color w:val="auto"/>
          <w:sz w:val="24"/>
          <w:szCs w:val="24"/>
          <w:highlight w:val="none"/>
          <w:lang w:val="en-US" w:eastAsia="zh-CN"/>
        </w:rPr>
        <w:t>并安装调试完毕</w:t>
      </w:r>
      <w:r>
        <w:rPr>
          <w:rFonts w:hint="eastAsia" w:ascii="宋体" w:hAnsi="宋体" w:eastAsia="宋体" w:cs="宋体"/>
          <w:b w:val="0"/>
          <w:bCs/>
          <w:color w:val="auto"/>
          <w:sz w:val="24"/>
          <w:szCs w:val="24"/>
          <w:highlight w:val="none"/>
          <w:lang w:val="en-US" w:eastAsia="zh-CN"/>
        </w:rPr>
        <w:t>后，采购人组织检查，检查结果需双方人员签字确认，检查合格后，由采购人出具设备检查通过证明。如在检验时发现有设备任何缺损或与资料不符，</w:t>
      </w:r>
      <w:r>
        <w:rPr>
          <w:rFonts w:hint="eastAsia" w:ascii="宋体" w:hAnsi="宋体" w:cs="宋体"/>
          <w:b w:val="0"/>
          <w:bCs/>
          <w:color w:val="auto"/>
          <w:sz w:val="24"/>
          <w:szCs w:val="24"/>
          <w:highlight w:val="none"/>
          <w:lang w:val="en-US" w:eastAsia="zh-CN"/>
        </w:rPr>
        <w:t>成交供应商</w:t>
      </w:r>
      <w:r>
        <w:rPr>
          <w:rFonts w:hint="eastAsia" w:ascii="宋体" w:hAnsi="宋体" w:eastAsia="宋体" w:cs="宋体"/>
          <w:b w:val="0"/>
          <w:bCs/>
          <w:color w:val="auto"/>
          <w:sz w:val="24"/>
          <w:szCs w:val="24"/>
          <w:highlight w:val="none"/>
          <w:lang w:val="en-US" w:eastAsia="zh-CN"/>
        </w:rPr>
        <w:t>应对此进行解决，由此产生的费用由中标供应商承担。</w:t>
      </w:r>
    </w:p>
    <w:p w14:paraId="780E59C0">
      <w:pPr>
        <w:pStyle w:val="3"/>
        <w:keepNext w:val="0"/>
        <w:keepLines w:val="0"/>
        <w:tabs>
          <w:tab w:val="left" w:pos="1080"/>
        </w:tabs>
        <w:overflowPunct w:val="0"/>
        <w:spacing w:before="0" w:after="0" w:line="360" w:lineRule="auto"/>
        <w:ind w:firstLine="480" w:firstLineChars="200"/>
        <w:jc w:val="left"/>
        <w:outlineLvl w:val="2"/>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验收时如发现有设备不符合要求，无法正常运行，供应商应立即解决</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无条件维修好或照价赔偿</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，直到符合验收标准。</w:t>
      </w:r>
    </w:p>
    <w:p w14:paraId="5D70E79D">
      <w:pPr>
        <w:pStyle w:val="3"/>
        <w:keepNext w:val="0"/>
        <w:keepLines w:val="0"/>
        <w:tabs>
          <w:tab w:val="left" w:pos="1080"/>
        </w:tabs>
        <w:overflowPunct w:val="0"/>
        <w:spacing w:before="0" w:after="0" w:line="360" w:lineRule="auto"/>
        <w:ind w:firstLine="480" w:firstLineChars="200"/>
        <w:jc w:val="left"/>
        <w:outlineLvl w:val="2"/>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考虑在搬迁过程中，部分清单物品已由采购人带走，合同实施过程中，根据实际搬运数量，据实结算。</w:t>
      </w:r>
    </w:p>
    <w:p w14:paraId="5FC3EA7A">
      <w:pPr>
        <w:ind w:left="0" w:leftChars="0" w:firstLine="0" w:firstLineChars="0"/>
        <w:sectPr>
          <w:pgSz w:w="11906" w:h="16838"/>
          <w:pgMar w:top="1440" w:right="1800" w:bottom="1440" w:left="1800" w:header="851" w:footer="992" w:gutter="0"/>
          <w:cols w:space="425" w:num="1"/>
          <w:docGrid w:type="lines" w:linePitch="312" w:charSpace="0"/>
        </w:sectPr>
      </w:pPr>
    </w:p>
    <w:p w14:paraId="0CB2AC47">
      <w:pPr>
        <w:pStyle w:val="2"/>
        <w:numPr>
          <w:ilvl w:val="0"/>
          <w:numId w:val="1"/>
        </w:numPr>
      </w:pPr>
      <w:bookmarkStart w:id="456" w:name="_Toc17721"/>
      <w:bookmarkStart w:id="457" w:name="_Toc163493631"/>
      <w:bookmarkStart w:id="458" w:name="_Toc29066"/>
      <w:bookmarkStart w:id="459" w:name="_Toc14195"/>
      <w:bookmarkStart w:id="460" w:name="_Toc3832"/>
      <w:bookmarkStart w:id="461" w:name="_Toc26815"/>
      <w:r>
        <w:rPr>
          <w:rFonts w:hint="eastAsia"/>
        </w:rPr>
        <w:t>评审办法及标准</w:t>
      </w:r>
      <w:bookmarkEnd w:id="456"/>
      <w:bookmarkEnd w:id="457"/>
      <w:bookmarkEnd w:id="458"/>
      <w:bookmarkEnd w:id="459"/>
      <w:bookmarkEnd w:id="460"/>
      <w:bookmarkEnd w:id="461"/>
    </w:p>
    <w:p w14:paraId="777B4F46">
      <w:pPr>
        <w:pStyle w:val="3"/>
        <w:numPr>
          <w:ilvl w:val="0"/>
          <w:numId w:val="13"/>
        </w:numPr>
      </w:pPr>
      <w:bookmarkStart w:id="462" w:name="_Toc18183"/>
      <w:bookmarkStart w:id="463" w:name="_Toc6464"/>
      <w:bookmarkStart w:id="464" w:name="_Toc163493632"/>
      <w:bookmarkStart w:id="465" w:name="_Toc15924"/>
      <w:r>
        <w:rPr>
          <w:rFonts w:hint="eastAsia"/>
        </w:rPr>
        <w:t>评审方法</w:t>
      </w:r>
      <w:bookmarkEnd w:id="462"/>
      <w:bookmarkEnd w:id="463"/>
      <w:bookmarkEnd w:id="464"/>
      <w:bookmarkEnd w:id="465"/>
    </w:p>
    <w:p w14:paraId="638FD58D">
      <w:pPr>
        <w:pStyle w:val="32"/>
        <w:ind w:firstLine="480"/>
      </w:pPr>
      <w:r>
        <w:rPr>
          <w:rFonts w:hint="eastAsia"/>
        </w:rPr>
        <w:t>本项目采用综合评分法。综合评分法是指经磋商确定最终采购需求和提交最后报价</w:t>
      </w:r>
      <w:r>
        <w:rPr>
          <w:rFonts w:hint="eastAsia"/>
          <w:b/>
          <w:bCs/>
          <w:szCs w:val="24"/>
          <w:lang w:val="zh-CN"/>
        </w:rPr>
        <w:t>（因落实政府采购政策进行价格调整的，以调整后的价格计算）</w:t>
      </w:r>
      <w:r>
        <w:rPr>
          <w:rFonts w:hint="eastAsia"/>
        </w:rPr>
        <w:t>的供应商的响应文件满足磋商文件全部实质性要求且按评审因素的量化指标评审得分最高的供应商为成交候选供应商的评审方法。</w:t>
      </w:r>
    </w:p>
    <w:p w14:paraId="11F28A74">
      <w:pPr>
        <w:pStyle w:val="3"/>
        <w:numPr>
          <w:ilvl w:val="0"/>
          <w:numId w:val="13"/>
        </w:numPr>
      </w:pPr>
      <w:bookmarkStart w:id="466" w:name="_Toc9791"/>
      <w:bookmarkStart w:id="467" w:name="_Toc21066"/>
      <w:bookmarkStart w:id="468" w:name="_Toc28438"/>
      <w:bookmarkStart w:id="469" w:name="_Toc163493633"/>
      <w:r>
        <w:rPr>
          <w:rFonts w:hint="eastAsia"/>
        </w:rPr>
        <w:t>评审程序</w:t>
      </w:r>
      <w:bookmarkEnd w:id="466"/>
      <w:bookmarkEnd w:id="467"/>
      <w:bookmarkEnd w:id="468"/>
      <w:bookmarkEnd w:id="469"/>
    </w:p>
    <w:p w14:paraId="06B20E21">
      <w:pPr>
        <w:pStyle w:val="4"/>
        <w:numPr>
          <w:ilvl w:val="0"/>
          <w:numId w:val="14"/>
        </w:numPr>
        <w:rPr>
          <w:lang w:val="zh-CN"/>
        </w:rPr>
      </w:pPr>
      <w:bookmarkStart w:id="470" w:name="_Toc25309"/>
      <w:bookmarkStart w:id="471" w:name="_Toc17247"/>
      <w:bookmarkStart w:id="472" w:name="_Toc163493634"/>
      <w:r>
        <w:rPr>
          <w:rFonts w:hint="eastAsia"/>
        </w:rPr>
        <w:t>资格性审查和符合性审查</w:t>
      </w:r>
      <w:bookmarkEnd w:id="470"/>
      <w:bookmarkEnd w:id="471"/>
      <w:bookmarkEnd w:id="472"/>
    </w:p>
    <w:p w14:paraId="02E10ED0">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磋商小组</w:t>
      </w:r>
      <w:r>
        <w:rPr>
          <w:rFonts w:hint="eastAsia" w:cs="宋体"/>
        </w:rPr>
        <w:t>根据磋商文件规定的供应商资格条件、评定成交的标准等事项，对供应商的响应文件进行评审。资格性审查和符合性审查不符合磋商文件要求的响应文件，按</w:t>
      </w:r>
      <w:r>
        <w:rPr>
          <w:rFonts w:hint="eastAsia" w:cs="宋体"/>
          <w:b/>
          <w:bCs/>
        </w:rPr>
        <w:t>无效文件</w:t>
      </w:r>
      <w:r>
        <w:rPr>
          <w:rFonts w:hint="eastAsia" w:cs="宋体"/>
        </w:rPr>
        <w:t>处理，不进入磋商，并告知有关供应商</w:t>
      </w:r>
      <w:r>
        <w:rPr>
          <w:rFonts w:hint="eastAsia"/>
          <w:lang w:val="zh-CN"/>
        </w:rPr>
        <w:t>。</w:t>
      </w:r>
    </w:p>
    <w:p w14:paraId="47A9A6A4">
      <w:pPr>
        <w:ind w:firstLine="470" w:firstLineChars="196"/>
        <w:rPr>
          <w:lang w:val="zh-CN"/>
        </w:rPr>
      </w:pPr>
      <w:r>
        <w:rPr>
          <w:rFonts w:hint="eastAsia"/>
        </w:rPr>
        <w:t>2.同品牌检查：</w:t>
      </w:r>
    </w:p>
    <w:p w14:paraId="0790D735">
      <w:pPr>
        <w:pStyle w:val="32"/>
        <w:ind w:firstLine="480"/>
        <w:rPr>
          <w:lang w:val="zh-CN"/>
        </w:rPr>
      </w:pPr>
      <w:r>
        <w:rPr>
          <w:rFonts w:hint="eastAsia"/>
        </w:rPr>
        <w:t>2.1单一产品采购（或非单一产品采购中的核心产品），提供相同品牌产品且通过资格审查、符合性审查的不同供应商参加同一合同项下磋商的，按一家供应商计算。</w:t>
      </w:r>
    </w:p>
    <w:p w14:paraId="2E12720E">
      <w:pPr>
        <w:pStyle w:val="32"/>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竞争性磋商文件中载明，评审时按前款规定处理。</w:t>
      </w:r>
    </w:p>
    <w:p w14:paraId="6F216F0C">
      <w:pPr>
        <w:pStyle w:val="32"/>
        <w:ind w:firstLine="480"/>
      </w:pPr>
      <w:r>
        <w:rPr>
          <w:rFonts w:hint="eastAsia"/>
        </w:rPr>
        <w:t>2.3有效磋商品牌不足3家的应按</w:t>
      </w:r>
      <w:r>
        <w:rPr>
          <w:rFonts w:hint="eastAsia"/>
          <w:b/>
          <w:bCs/>
        </w:rPr>
        <w:t>废标</w:t>
      </w:r>
      <w:r>
        <w:rPr>
          <w:rFonts w:hint="eastAsia"/>
        </w:rPr>
        <w:t>处理。</w:t>
      </w:r>
    </w:p>
    <w:p w14:paraId="2FC90000">
      <w:pPr>
        <w:tabs>
          <w:tab w:val="left" w:pos="312"/>
        </w:tabs>
        <w:wordWrap w:val="0"/>
        <w:adjustRightInd w:val="0"/>
        <w:snapToGrid w:val="0"/>
        <w:ind w:firstLine="480" w:firstLineChars="200"/>
      </w:pPr>
    </w:p>
    <w:p w14:paraId="3312F8C8">
      <w:pPr>
        <w:pStyle w:val="4"/>
        <w:numPr>
          <w:ilvl w:val="0"/>
          <w:numId w:val="14"/>
        </w:numPr>
      </w:pPr>
      <w:bookmarkStart w:id="473" w:name="_Toc16789"/>
      <w:bookmarkStart w:id="474" w:name="_Toc163493635"/>
      <w:bookmarkStart w:id="475" w:name="_Toc26031"/>
      <w:bookmarkStart w:id="476" w:name="_Hlk158124046"/>
      <w:bookmarkStart w:id="477" w:name="_Toc102114946"/>
      <w:bookmarkStart w:id="478" w:name="_Toc102057744"/>
      <w:bookmarkStart w:id="479" w:name="_Toc102119879"/>
      <w:bookmarkStart w:id="480" w:name="_Toc102056244"/>
      <w:bookmarkStart w:id="481" w:name="_Toc102116048"/>
      <w:bookmarkStart w:id="482" w:name="_Toc102116178"/>
      <w:r>
        <w:rPr>
          <w:rFonts w:hint="eastAsia"/>
        </w:rPr>
        <w:t>响应文件澄清</w:t>
      </w:r>
      <w:bookmarkEnd w:id="473"/>
      <w:bookmarkEnd w:id="474"/>
      <w:bookmarkEnd w:id="475"/>
    </w:p>
    <w:p w14:paraId="75FC0BD8">
      <w:pPr>
        <w:pStyle w:val="32"/>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磋商</w:t>
      </w:r>
      <w:r>
        <w:t>小组</w:t>
      </w:r>
      <w:r>
        <w:rPr>
          <w:rFonts w:hint="eastAsia"/>
        </w:rPr>
        <w:t>可以以书面的形式</w:t>
      </w:r>
      <w:r>
        <w:t>要求供应商</w:t>
      </w:r>
      <w:r>
        <w:rPr>
          <w:rFonts w:hint="eastAsia"/>
        </w:rPr>
        <w:t>作</w:t>
      </w:r>
      <w:r>
        <w:t>出必要的澄清、说明或者补正。</w:t>
      </w:r>
    </w:p>
    <w:p w14:paraId="3AACF265">
      <w:pPr>
        <w:pStyle w:val="32"/>
        <w:ind w:firstLine="480"/>
      </w:pPr>
      <w:r>
        <w:rPr>
          <w:rFonts w:hint="eastAsia"/>
        </w:rPr>
        <w:t>2</w:t>
      </w:r>
      <w:r>
        <w:t>.</w:t>
      </w:r>
      <w:r>
        <w:rPr>
          <w:rFonts w:hint="eastAsia"/>
        </w:rPr>
        <w:t>供应商应按照磋商小组要求在规定时间内作出澄清、说明或者补正，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3695EA6E">
      <w:pPr>
        <w:pStyle w:val="32"/>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w:t>
      </w:r>
      <w:r>
        <w:rPr>
          <w:rFonts w:hint="eastAsia"/>
          <w:lang w:val="en-US" w:eastAsia="zh-CN"/>
        </w:rPr>
        <w:t>鲜章</w:t>
      </w:r>
      <w:r>
        <w:rPr>
          <w:rFonts w:hint="eastAsia"/>
        </w:rPr>
        <w:t>后提交。</w:t>
      </w:r>
    </w:p>
    <w:bookmarkEnd w:id="476"/>
    <w:p w14:paraId="163B6C3A">
      <w:pPr>
        <w:pStyle w:val="4"/>
        <w:numPr>
          <w:ilvl w:val="0"/>
          <w:numId w:val="14"/>
        </w:numPr>
      </w:pPr>
      <w:bookmarkStart w:id="483" w:name="_Toc29794"/>
      <w:bookmarkStart w:id="484" w:name="_Toc163493636"/>
      <w:bookmarkStart w:id="485" w:name="_Toc11892"/>
      <w:r>
        <w:rPr>
          <w:rFonts w:hint="eastAsia"/>
        </w:rPr>
        <w:t>磋商程序</w:t>
      </w:r>
      <w:bookmarkEnd w:id="483"/>
      <w:bookmarkEnd w:id="484"/>
      <w:bookmarkEnd w:id="485"/>
    </w:p>
    <w:p w14:paraId="6F923C12">
      <w:pPr>
        <w:pStyle w:val="32"/>
        <w:ind w:firstLine="480"/>
      </w:pPr>
      <w:r>
        <w:rPr>
          <w:rFonts w:hint="eastAsia"/>
        </w:rPr>
        <w:t>磋商小组应当依据磋商文件规定的程序、评定成交的标准等事项与</w:t>
      </w:r>
      <w:r>
        <w:rPr>
          <w:rFonts w:hint="eastAsia" w:cs="Helvetica"/>
          <w:szCs w:val="24"/>
          <w:lang w:val="zh-CN"/>
        </w:rPr>
        <w:t>实质性</w:t>
      </w:r>
      <w:r>
        <w:rPr>
          <w:rFonts w:hint="eastAsia"/>
        </w:rPr>
        <w:t>响应磋商文件要求的供应商</w:t>
      </w:r>
      <w:r>
        <w:t>进行</w:t>
      </w:r>
      <w:r>
        <w:rPr>
          <w:rFonts w:hint="eastAsia"/>
        </w:rPr>
        <w:t>磋商。</w:t>
      </w:r>
    </w:p>
    <w:p w14:paraId="1DF2DA77">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r>
        <w:rPr>
          <w:rFonts w:hint="eastAsia"/>
        </w:rPr>
        <w:t>第</w:t>
      </w:r>
      <w:r>
        <w:t>一轮</w:t>
      </w:r>
      <w:r>
        <w:rPr>
          <w:rFonts w:hint="eastAsia"/>
        </w:rPr>
        <w:t>磋商</w:t>
      </w:r>
    </w:p>
    <w:p w14:paraId="21D919D5">
      <w:pPr>
        <w:pStyle w:val="32"/>
        <w:ind w:firstLine="480"/>
        <w:rPr>
          <w:rFonts w:cs="宋体"/>
          <w:szCs w:val="24"/>
        </w:rPr>
      </w:pPr>
      <w:r>
        <w:rPr>
          <w:rFonts w:hint="eastAsia"/>
          <w:lang w:val="zh-CN"/>
        </w:rPr>
        <w:t>1</w:t>
      </w:r>
      <w:r>
        <w:rPr>
          <w:lang w:val="zh-CN"/>
        </w:rPr>
        <w:t>.1</w:t>
      </w:r>
      <w:r>
        <w:rPr>
          <w:rFonts w:hint="eastAsia"/>
          <w:lang w:val="zh-CN"/>
        </w:rPr>
        <w:t>磋商小组将按照系统随机的顺序决定供应商的磋商顺序，并与单一供应商分别进行磋商</w:t>
      </w:r>
      <w:r>
        <w:rPr>
          <w:rFonts w:hint="eastAsia" w:cs="宋体"/>
          <w:szCs w:val="24"/>
        </w:rPr>
        <w:t>。</w:t>
      </w:r>
    </w:p>
    <w:p w14:paraId="3B4F93A7">
      <w:pPr>
        <w:pStyle w:val="32"/>
        <w:ind w:firstLine="480"/>
        <w:rPr>
          <w:rFonts w:cs="宋体"/>
          <w:szCs w:val="24"/>
        </w:rPr>
      </w:pPr>
      <w:r>
        <w:rPr>
          <w:rFonts w:hint="eastAsia" w:cs="宋体"/>
          <w:szCs w:val="24"/>
        </w:rPr>
        <w:t>1</w:t>
      </w:r>
      <w:r>
        <w:rPr>
          <w:rFonts w:cs="宋体"/>
          <w:szCs w:val="24"/>
        </w:rPr>
        <w:t>.2</w:t>
      </w:r>
      <w:r>
        <w:rPr>
          <w:rFonts w:hint="eastAsia" w:cs="宋体"/>
          <w:szCs w:val="24"/>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11A63AA2">
      <w:pPr>
        <w:pStyle w:val="32"/>
        <w:ind w:firstLine="480"/>
        <w:rPr>
          <w:rFonts w:cs="宋体"/>
          <w:szCs w:val="24"/>
        </w:rPr>
      </w:pPr>
      <w:r>
        <w:rPr>
          <w:rFonts w:hint="eastAsia" w:cs="宋体"/>
          <w:szCs w:val="24"/>
        </w:rPr>
        <w:t>1</w:t>
      </w:r>
      <w:r>
        <w:rPr>
          <w:rFonts w:cs="宋体"/>
          <w:szCs w:val="24"/>
        </w:rPr>
        <w:t>.3</w:t>
      </w:r>
      <w:r>
        <w:rPr>
          <w:rFonts w:hint="eastAsia" w:cs="宋体"/>
          <w:szCs w:val="24"/>
        </w:rPr>
        <w:t>磋商的过程中，磋商小组可以根据磋商文件和磋商情况实质性变动采购需求中的技术要求和</w:t>
      </w:r>
      <w:r>
        <w:rPr>
          <w:rFonts w:cs="宋体"/>
          <w:szCs w:val="24"/>
        </w:rPr>
        <w:t>商务要求</w:t>
      </w:r>
      <w:r>
        <w:rPr>
          <w:rFonts w:hint="eastAsia" w:cs="宋体"/>
          <w:szCs w:val="24"/>
        </w:rPr>
        <w:t>，但不得变动磋商文件中的其他内容。实质性变动的内容，须经采购人代表确认。</w:t>
      </w:r>
    </w:p>
    <w:p w14:paraId="24589CFF">
      <w:pPr>
        <w:pStyle w:val="32"/>
        <w:ind w:firstLine="480"/>
        <w:rPr>
          <w:rFonts w:cs="宋体"/>
          <w:szCs w:val="24"/>
        </w:rPr>
      </w:pPr>
      <w:r>
        <w:rPr>
          <w:rFonts w:hint="eastAsia" w:cs="宋体"/>
          <w:szCs w:val="24"/>
        </w:rPr>
        <w:t>1</w:t>
      </w:r>
      <w:r>
        <w:rPr>
          <w:rFonts w:cs="宋体"/>
          <w:szCs w:val="24"/>
        </w:rPr>
        <w:t>.4</w:t>
      </w:r>
      <w:r>
        <w:rPr>
          <w:rFonts w:hint="eastAsia" w:cs="宋体"/>
          <w:szCs w:val="24"/>
        </w:rPr>
        <w:t>对磋商文件作出的实质性变动的内容是磋商文件的有效组成部分。磋商小组应将磋商文件的变动情况以书面的方式通知所有参加磋商的供应商。</w:t>
      </w:r>
    </w:p>
    <w:p w14:paraId="27CFF229">
      <w:pPr>
        <w:pStyle w:val="32"/>
        <w:ind w:firstLine="480"/>
        <w:rPr>
          <w:rFonts w:cs="宋体"/>
          <w:szCs w:val="24"/>
        </w:rPr>
      </w:pPr>
      <w:r>
        <w:rPr>
          <w:rFonts w:hint="eastAsia" w:cs="宋体"/>
          <w:szCs w:val="24"/>
        </w:rPr>
        <w:t>1</w:t>
      </w:r>
      <w:r>
        <w:rPr>
          <w:rFonts w:cs="宋体"/>
          <w:szCs w:val="24"/>
        </w:rPr>
        <w:t>.5</w:t>
      </w:r>
      <w:r>
        <w:rPr>
          <w:rFonts w:hint="eastAsia" w:cs="宋体"/>
          <w:szCs w:val="24"/>
        </w:rPr>
        <w:t>供应商应当根据磋商文件的变动情况和磋商小组的要求，在规定的时间内对原响应文件内容进行修正，并将修正文件以</w:t>
      </w:r>
      <w:r>
        <w:rPr>
          <w:rFonts w:cs="宋体"/>
          <w:szCs w:val="24"/>
        </w:rPr>
        <w:t>书面的方式</w:t>
      </w:r>
      <w:r>
        <w:rPr>
          <w:rFonts w:hint="eastAsia" w:cs="宋体"/>
          <w:szCs w:val="24"/>
        </w:rPr>
        <w:t>经授权代表签字（或加盖公章）后提交磋商小组。逾时不提交的，视同退出磋商。</w:t>
      </w:r>
    </w:p>
    <w:p w14:paraId="61D12AC7">
      <w:pPr>
        <w:pStyle w:val="32"/>
        <w:ind w:firstLine="480"/>
        <w:rPr>
          <w:rFonts w:cs="宋体"/>
          <w:szCs w:val="24"/>
        </w:rPr>
      </w:pPr>
      <w:r>
        <w:rPr>
          <w:rFonts w:hint="eastAsia" w:cs="宋体"/>
          <w:szCs w:val="24"/>
        </w:rPr>
        <w:t>1</w:t>
      </w:r>
      <w:r>
        <w:rPr>
          <w:rFonts w:cs="宋体"/>
          <w:szCs w:val="24"/>
        </w:rPr>
        <w:t>.6</w:t>
      </w:r>
      <w:r>
        <w:rPr>
          <w:rFonts w:hint="eastAsia" w:cs="宋体"/>
          <w:szCs w:val="24"/>
        </w:rPr>
        <w:t>修正文件与响应文件具有同等法律效力。</w:t>
      </w:r>
    </w:p>
    <w:p w14:paraId="69F588A0">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r>
        <w:rPr>
          <w:rFonts w:hint="eastAsia"/>
        </w:rPr>
        <w:t>多轮磋商</w:t>
      </w:r>
    </w:p>
    <w:p w14:paraId="41E561A2">
      <w:pPr>
        <w:pStyle w:val="32"/>
        <w:ind w:firstLine="480"/>
      </w:pPr>
      <w:r>
        <w:t>2.1</w:t>
      </w:r>
      <w:r>
        <w:rPr>
          <w:rFonts w:hint="eastAsia"/>
        </w:rPr>
        <w:t>磋商文件中不能详细列明采购标的的技术、服务要求，需经过磋商由供应商提供最终设计方案或解决方案的项目，磋商小组可以根据采购人对采购需求的确认情况，进行多轮磋商，直到采购人代表最终确认采购需求为止。</w:t>
      </w:r>
    </w:p>
    <w:p w14:paraId="715FB473">
      <w:pPr>
        <w:pStyle w:val="32"/>
        <w:ind w:firstLine="480"/>
        <w:rPr>
          <w:sz w:val="28"/>
        </w:rPr>
      </w:pPr>
      <w:r>
        <w:rPr>
          <w:rFonts w:hint="eastAsia"/>
        </w:rPr>
        <w:t>2</w:t>
      </w:r>
      <w:r>
        <w:t>.3</w:t>
      </w:r>
      <w:r>
        <w:rPr>
          <w:rFonts w:hint="eastAsia"/>
        </w:rPr>
        <w:t>磋商程序同第一轮磋商。</w:t>
      </w:r>
    </w:p>
    <w:p w14:paraId="24041088">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r>
        <w:rPr>
          <w:rFonts w:hint="eastAsia"/>
        </w:rPr>
        <w:t>最后报价</w:t>
      </w:r>
    </w:p>
    <w:p w14:paraId="1C5BED3D">
      <w:pPr>
        <w:pStyle w:val="32"/>
        <w:ind w:firstLine="480"/>
      </w:pPr>
      <w:r>
        <w:rPr>
          <w:rFonts w:hint="eastAsia"/>
        </w:rPr>
        <w:t>3</w:t>
      </w:r>
      <w:r>
        <w:t>.1</w:t>
      </w:r>
      <w:r>
        <w:rPr>
          <w:rFonts w:hint="eastAsia"/>
        </w:rPr>
        <w:t>磋商文件中能够详细列明采购标的的技术、服务要求的，磋商结束后，磋商小组应当要求所有继续参加磋商的供应商，在规定时间内，以书面的方式经授权代表签字（或加盖公章）后提交最后报价，提交最后报价的供应商不得少于3家</w:t>
      </w:r>
      <w:r>
        <w:rPr>
          <w:rFonts w:hint="eastAsia"/>
          <w:szCs w:val="24"/>
          <w:lang w:val="zh-CN"/>
        </w:rPr>
        <w:t>（</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w:t>
      </w:r>
      <w:r>
        <w:rPr>
          <w:szCs w:val="24"/>
          <w:lang w:val="zh-CN"/>
        </w:rPr>
        <w:t>）</w:t>
      </w:r>
      <w:r>
        <w:rPr>
          <w:rFonts w:hint="eastAsia"/>
        </w:rPr>
        <w:t>。</w:t>
      </w:r>
    </w:p>
    <w:p w14:paraId="23233CDD">
      <w:pPr>
        <w:pStyle w:val="32"/>
        <w:ind w:firstLine="480"/>
      </w:pPr>
      <w:r>
        <w:t>3.2</w:t>
      </w:r>
      <w:r>
        <w:rPr>
          <w:rFonts w:hint="eastAsia"/>
        </w:rPr>
        <w:t>磋商文件中不能详细列明采购标的的技术、服务要求，需经过磋商由供应商提供最后设计方案或解决方案的，磋商结束后，磋商小组应当按照少数服从多数的原则投票推荐3家以上供应商的设计方案或者解决方案，并要求其在规定时间内，提交最后报价。</w:t>
      </w:r>
    </w:p>
    <w:p w14:paraId="0EE3A2DD">
      <w:pPr>
        <w:pStyle w:val="32"/>
        <w:ind w:firstLine="480"/>
      </w:pPr>
      <w:r>
        <w:t>3.3</w:t>
      </w:r>
      <w:r>
        <w:rPr>
          <w:rFonts w:hint="eastAsia"/>
        </w:rPr>
        <w:t>最后报价是供应商响应文件的有效组成部分。逾时不提交的，视同退出磋商。</w:t>
      </w:r>
    </w:p>
    <w:p w14:paraId="5D080074">
      <w:pPr>
        <w:pStyle w:val="32"/>
        <w:ind w:firstLine="480"/>
        <w:rPr>
          <w:bCs/>
          <w:lang w:val="zh-CN"/>
        </w:rPr>
      </w:pPr>
      <w:r>
        <w:rPr>
          <w:rFonts w:hint="eastAsia" w:cs="Helvetica"/>
          <w:lang w:val="zh-CN"/>
        </w:rPr>
        <w:t>最后</w:t>
      </w:r>
      <w:r>
        <w:rPr>
          <w:bCs/>
          <w:lang w:val="zh-CN"/>
        </w:rPr>
        <w:t>报价出现</w:t>
      </w:r>
      <w:r>
        <w:rPr>
          <w:rFonts w:hint="eastAsia"/>
          <w:bCs/>
          <w:lang w:val="zh-CN"/>
        </w:rPr>
        <w:t>前后不一致的</w:t>
      </w:r>
      <w:r>
        <w:rPr>
          <w:bCs/>
          <w:lang w:val="zh-CN"/>
        </w:rPr>
        <w:t>，按照下列规定修正：</w:t>
      </w:r>
    </w:p>
    <w:p w14:paraId="134F100A">
      <w:pPr>
        <w:tabs>
          <w:tab w:val="left" w:pos="993"/>
        </w:tabs>
        <w:wordWrap w:val="0"/>
        <w:adjustRightInd w:val="0"/>
        <w:snapToGrid w:val="0"/>
        <w:ind w:left="849" w:leftChars="118" w:hanging="566" w:hangingChars="236"/>
        <w:rPr>
          <w:szCs w:val="24"/>
          <w:lang w:val="zh-CN"/>
        </w:rPr>
      </w:pPr>
      <w:r>
        <w:rPr>
          <w:rFonts w:hint="eastAsia"/>
          <w:szCs w:val="24"/>
          <w:lang w:val="zh-CN"/>
        </w:rPr>
        <w:t>（1）</w:t>
      </w:r>
      <w:r>
        <w:rPr>
          <w:szCs w:val="24"/>
          <w:lang w:val="zh-CN"/>
        </w:rPr>
        <w:t>大写金额和小写金额不一致的，以大写金额为准</w:t>
      </w:r>
      <w:r>
        <w:rPr>
          <w:rFonts w:hint="eastAsia"/>
          <w:szCs w:val="24"/>
          <w:lang w:val="zh-CN"/>
        </w:rPr>
        <w:t>；</w:t>
      </w:r>
    </w:p>
    <w:p w14:paraId="4D0EA03A">
      <w:pPr>
        <w:tabs>
          <w:tab w:val="left" w:pos="993"/>
        </w:tabs>
        <w:wordWrap w:val="0"/>
        <w:adjustRightInd w:val="0"/>
        <w:snapToGrid w:val="0"/>
        <w:ind w:left="849" w:leftChars="118" w:hanging="566" w:hangingChars="236"/>
        <w:rPr>
          <w:szCs w:val="24"/>
          <w:lang w:val="zh-CN"/>
        </w:rPr>
      </w:pPr>
      <w:r>
        <w:rPr>
          <w:rFonts w:hint="eastAsia"/>
          <w:szCs w:val="24"/>
          <w:lang w:val="zh-CN"/>
        </w:rPr>
        <w:t>（2）</w:t>
      </w:r>
      <w:r>
        <w:rPr>
          <w:szCs w:val="24"/>
          <w:lang w:val="zh-CN"/>
        </w:rPr>
        <w:t>单价金额</w:t>
      </w:r>
      <w:r>
        <w:rPr>
          <w:rFonts w:cs="宋体"/>
          <w:szCs w:val="24"/>
        </w:rPr>
        <w:t>小数点</w:t>
      </w:r>
      <w:r>
        <w:rPr>
          <w:szCs w:val="24"/>
          <w:lang w:val="zh-CN"/>
        </w:rPr>
        <w:t>或百分比有明显错位的，以</w:t>
      </w:r>
      <w:r>
        <w:rPr>
          <w:rFonts w:hint="eastAsia"/>
          <w:szCs w:val="24"/>
          <w:lang w:val="zh-CN"/>
        </w:rPr>
        <w:t>最后报价表</w:t>
      </w:r>
      <w:r>
        <w:rPr>
          <w:szCs w:val="24"/>
          <w:lang w:val="zh-CN"/>
        </w:rPr>
        <w:t>的总价为准，并修改单价</w:t>
      </w:r>
      <w:r>
        <w:rPr>
          <w:rFonts w:hint="eastAsia"/>
          <w:szCs w:val="24"/>
          <w:lang w:val="zh-CN"/>
        </w:rPr>
        <w:t>；</w:t>
      </w:r>
    </w:p>
    <w:p w14:paraId="325BB1C9">
      <w:pPr>
        <w:tabs>
          <w:tab w:val="left" w:pos="993"/>
        </w:tabs>
        <w:wordWrap w:val="0"/>
        <w:adjustRightInd w:val="0"/>
        <w:snapToGrid w:val="0"/>
        <w:ind w:left="849" w:leftChars="118" w:hanging="566" w:hangingChars="236"/>
        <w:rPr>
          <w:szCs w:val="24"/>
          <w:lang w:val="zh-CN"/>
        </w:rPr>
      </w:pPr>
      <w:r>
        <w:rPr>
          <w:rFonts w:hint="eastAsia"/>
          <w:szCs w:val="24"/>
          <w:lang w:val="zh-CN"/>
        </w:rPr>
        <w:t>（3）</w:t>
      </w:r>
      <w:r>
        <w:rPr>
          <w:szCs w:val="24"/>
          <w:lang w:val="zh-CN"/>
        </w:rPr>
        <w:t>总价金额与按单价汇总金额不一致的，以单价金额计算结果为准</w:t>
      </w:r>
      <w:r>
        <w:rPr>
          <w:rFonts w:hint="eastAsia"/>
          <w:szCs w:val="24"/>
          <w:lang w:val="zh-CN"/>
        </w:rPr>
        <w:t>；</w:t>
      </w:r>
    </w:p>
    <w:p w14:paraId="33DE43A9">
      <w:pPr>
        <w:tabs>
          <w:tab w:val="left" w:pos="993"/>
        </w:tabs>
        <w:wordWrap w:val="0"/>
        <w:adjustRightInd w:val="0"/>
        <w:snapToGrid w:val="0"/>
        <w:ind w:left="849" w:leftChars="118" w:hanging="566" w:hangingChars="236"/>
        <w:rPr>
          <w:szCs w:val="24"/>
          <w:lang w:val="zh-CN"/>
        </w:rPr>
      </w:pPr>
      <w:r>
        <w:rPr>
          <w:rFonts w:hint="eastAsia"/>
          <w:szCs w:val="24"/>
          <w:lang w:val="zh-CN"/>
        </w:rPr>
        <w:t>（4）</w:t>
      </w:r>
      <w:r>
        <w:rPr>
          <w:szCs w:val="24"/>
          <w:lang w:val="zh-CN"/>
        </w:rPr>
        <w:t>同时出现</w:t>
      </w:r>
      <w:r>
        <w:rPr>
          <w:rFonts w:cs="宋体"/>
          <w:szCs w:val="24"/>
        </w:rPr>
        <w:t>两种</w:t>
      </w:r>
      <w:r>
        <w:rPr>
          <w:szCs w:val="24"/>
          <w:lang w:val="zh-CN"/>
        </w:rPr>
        <w:t>以上不一致的，按照前款规定的顺序修正</w:t>
      </w:r>
      <w:r>
        <w:rPr>
          <w:rFonts w:hint="eastAsia"/>
          <w:szCs w:val="24"/>
          <w:lang w:val="zh-CN"/>
        </w:rPr>
        <w:t>；</w:t>
      </w:r>
    </w:p>
    <w:p w14:paraId="4C4E8F5E">
      <w:pPr>
        <w:tabs>
          <w:tab w:val="left" w:pos="993"/>
        </w:tabs>
        <w:wordWrap w:val="0"/>
        <w:adjustRightInd w:val="0"/>
        <w:snapToGrid w:val="0"/>
        <w:ind w:left="849" w:leftChars="118" w:hanging="566" w:hangingChars="236"/>
      </w:pPr>
      <w:r>
        <w:rPr>
          <w:rFonts w:hint="eastAsia"/>
          <w:szCs w:val="24"/>
          <w:lang w:val="zh-CN"/>
        </w:rPr>
        <w:t>（5）</w:t>
      </w:r>
      <w:r>
        <w:rPr>
          <w:szCs w:val="24"/>
          <w:lang w:val="zh-CN"/>
        </w:rPr>
        <w:t>修正后的报价</w:t>
      </w:r>
      <w:r>
        <w:rPr>
          <w:rFonts w:hint="eastAsia"/>
          <w:szCs w:val="24"/>
          <w:lang w:val="zh-CN"/>
        </w:rPr>
        <w:t>应通过书面方式</w:t>
      </w:r>
      <w:r>
        <w:rPr>
          <w:szCs w:val="24"/>
          <w:lang w:val="zh-CN"/>
        </w:rPr>
        <w:t>通知</w:t>
      </w:r>
      <w:r>
        <w:rPr>
          <w:rFonts w:hint="eastAsia"/>
          <w:szCs w:val="24"/>
          <w:lang w:val="zh-CN"/>
        </w:rPr>
        <w:t>供应商，由</w:t>
      </w:r>
      <w:r>
        <w:rPr>
          <w:szCs w:val="24"/>
          <w:lang w:val="zh-CN"/>
        </w:rPr>
        <w:t>供应商</w:t>
      </w:r>
      <w:r>
        <w:rPr>
          <w:rFonts w:hint="eastAsia"/>
          <w:szCs w:val="24"/>
          <w:lang w:val="zh-CN"/>
        </w:rPr>
        <w:t>授权代表签字（或加盖公章）</w:t>
      </w:r>
      <w:r>
        <w:rPr>
          <w:szCs w:val="24"/>
          <w:lang w:val="zh-CN"/>
        </w:rPr>
        <w:t>确认后产生约束力，供应商不确认的，</w:t>
      </w:r>
      <w:r>
        <w:rPr>
          <w:rFonts w:hint="eastAsia"/>
          <w:szCs w:val="24"/>
          <w:lang w:val="zh-CN"/>
        </w:rPr>
        <w:t>按照</w:t>
      </w:r>
      <w:r>
        <w:rPr>
          <w:b/>
          <w:szCs w:val="24"/>
          <w:lang w:val="zh-CN"/>
        </w:rPr>
        <w:t>无效</w:t>
      </w:r>
      <w:r>
        <w:rPr>
          <w:rFonts w:hint="eastAsia"/>
          <w:b/>
          <w:szCs w:val="24"/>
          <w:lang w:val="zh-CN"/>
        </w:rPr>
        <w:t>响应处理</w:t>
      </w:r>
      <w:r>
        <w:rPr>
          <w:szCs w:val="24"/>
          <w:lang w:val="zh-CN"/>
        </w:rPr>
        <w:t>。</w:t>
      </w:r>
    </w:p>
    <w:p w14:paraId="69F4B1D3">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bookmarkStart w:id="486" w:name="_Toc102114947"/>
      <w:bookmarkStart w:id="487" w:name="_Toc102057745"/>
      <w:bookmarkStart w:id="488" w:name="_Toc102056245"/>
      <w:bookmarkStart w:id="489" w:name="_Toc102116049"/>
      <w:bookmarkStart w:id="490" w:name="_Toc102116179"/>
      <w:bookmarkStart w:id="491" w:name="_Toc102119880"/>
      <w:r>
        <w:rPr>
          <w:rFonts w:hint="eastAsia"/>
        </w:rPr>
        <w:t>商务技术评审</w:t>
      </w:r>
    </w:p>
    <w:p w14:paraId="2B1D8551">
      <w:pPr>
        <w:pStyle w:val="32"/>
        <w:ind w:firstLine="480"/>
        <w:rPr>
          <w:lang w:val="zh-CN"/>
        </w:rPr>
      </w:pPr>
      <w:r>
        <w:rPr>
          <w:rFonts w:hint="eastAsia"/>
          <w:lang w:val="zh-CN"/>
        </w:rPr>
        <w:t>4</w:t>
      </w:r>
      <w:r>
        <w:rPr>
          <w:lang w:val="zh-CN"/>
        </w:rPr>
        <w:t>.1</w:t>
      </w:r>
      <w:r>
        <w:rPr>
          <w:rFonts w:hint="eastAsia"/>
          <w:lang w:val="zh-CN"/>
        </w:rPr>
        <w:t>磋商小组</w:t>
      </w:r>
      <w:r>
        <w:rPr>
          <w:lang w:val="zh-CN"/>
        </w:rPr>
        <w:t>应</w:t>
      </w:r>
      <w:r>
        <w:rPr>
          <w:rFonts w:hint="eastAsia"/>
          <w:lang w:val="zh-CN"/>
        </w:rPr>
        <w:t>对提交最后报价的响应文件进行商务和技术评审，并</w:t>
      </w:r>
      <w:r>
        <w:rPr>
          <w:lang w:val="zh-CN"/>
        </w:rPr>
        <w:t>按照</w:t>
      </w:r>
      <w:r>
        <w:rPr>
          <w:rFonts w:hint="eastAsia"/>
          <w:lang w:val="zh-CN"/>
        </w:rPr>
        <w:t>磋商</w:t>
      </w:r>
      <w:r>
        <w:rPr>
          <w:lang w:val="zh-CN"/>
        </w:rPr>
        <w:t>文件要求</w:t>
      </w:r>
      <w:r>
        <w:rPr>
          <w:rFonts w:hint="eastAsia"/>
          <w:lang w:val="zh-CN"/>
        </w:rPr>
        <w:t>、本章“三、评审标准”中的内容以</w:t>
      </w:r>
      <w:r>
        <w:rPr>
          <w:lang w:val="zh-CN"/>
        </w:rPr>
        <w:t>及磋商文件实</w:t>
      </w:r>
      <w:r>
        <w:rPr>
          <w:rFonts w:hint="eastAsia"/>
          <w:lang w:val="zh-CN"/>
        </w:rPr>
        <w:t>质</w:t>
      </w:r>
      <w:r>
        <w:rPr>
          <w:lang w:val="zh-CN"/>
        </w:rPr>
        <w:t>性变动内容的响应</w:t>
      </w:r>
      <w:r>
        <w:rPr>
          <w:rFonts w:hint="eastAsia"/>
          <w:lang w:val="zh-CN"/>
        </w:rPr>
        <w:t>情况进行综合比较和评价。</w:t>
      </w:r>
    </w:p>
    <w:bookmarkEnd w:id="477"/>
    <w:bookmarkEnd w:id="478"/>
    <w:bookmarkEnd w:id="479"/>
    <w:bookmarkEnd w:id="480"/>
    <w:bookmarkEnd w:id="481"/>
    <w:bookmarkEnd w:id="482"/>
    <w:bookmarkEnd w:id="486"/>
    <w:bookmarkEnd w:id="487"/>
    <w:bookmarkEnd w:id="488"/>
    <w:bookmarkEnd w:id="489"/>
    <w:bookmarkEnd w:id="490"/>
    <w:bookmarkEnd w:id="491"/>
    <w:p w14:paraId="17218E73">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bookmarkStart w:id="492" w:name="_Toc102057747"/>
      <w:bookmarkStart w:id="493" w:name="_Toc102119882"/>
      <w:bookmarkStart w:id="494" w:name="_Toc102056247"/>
      <w:bookmarkStart w:id="495" w:name="_Toc102116181"/>
      <w:bookmarkStart w:id="496" w:name="_Toc102114949"/>
      <w:bookmarkStart w:id="497" w:name="_Toc102116051"/>
      <w:r>
        <w:rPr>
          <w:rFonts w:hint="eastAsia"/>
        </w:rPr>
        <w:t>报价评</w:t>
      </w:r>
      <w:bookmarkEnd w:id="492"/>
      <w:bookmarkEnd w:id="493"/>
      <w:bookmarkEnd w:id="494"/>
      <w:bookmarkEnd w:id="495"/>
      <w:bookmarkEnd w:id="496"/>
      <w:bookmarkEnd w:id="497"/>
      <w:r>
        <w:rPr>
          <w:rFonts w:hint="eastAsia"/>
        </w:rPr>
        <w:t>审</w:t>
      </w:r>
    </w:p>
    <w:p w14:paraId="10F35739">
      <w:pPr>
        <w:pStyle w:val="32"/>
        <w:ind w:firstLine="480"/>
        <w:rPr>
          <w:bCs/>
          <w:szCs w:val="21"/>
          <w:lang w:val="zh-CN"/>
        </w:rPr>
      </w:pPr>
      <w:r>
        <w:rPr>
          <w:rFonts w:hint="eastAsia"/>
          <w:lang w:val="zh-CN"/>
        </w:rPr>
        <w:t>5</w:t>
      </w:r>
      <w:r>
        <w:rPr>
          <w:lang w:val="zh-CN"/>
        </w:rPr>
        <w:t>.1</w:t>
      </w:r>
      <w:r>
        <w:rPr>
          <w:rFonts w:hint="eastAsia"/>
          <w:lang w:val="zh-CN"/>
        </w:rPr>
        <w:t>报价合理性说明：磋商</w:t>
      </w:r>
      <w:r>
        <w:rPr>
          <w:lang w:val="zh-CN"/>
        </w:rPr>
        <w:t>小组认为供应商的</w:t>
      </w:r>
      <w:r>
        <w:rPr>
          <w:rFonts w:hint="eastAsia"/>
          <w:lang w:val="zh-CN"/>
        </w:rPr>
        <w:t>最后</w:t>
      </w:r>
      <w:r>
        <w:rPr>
          <w:lang w:val="zh-CN"/>
        </w:rPr>
        <w:t>报价明显低于其他供应商</w:t>
      </w:r>
      <w:r>
        <w:rPr>
          <w:rFonts w:hint="eastAsia"/>
          <w:lang w:val="zh-CN"/>
        </w:rPr>
        <w:t>最后</w:t>
      </w:r>
      <w:r>
        <w:rPr>
          <w:lang w:val="zh-CN"/>
        </w:rPr>
        <w:t>报价，有可能影响产品质量或者不能诚信履约的，应当要求其</w:t>
      </w:r>
      <w:r>
        <w:rPr>
          <w:rFonts w:hint="eastAsia"/>
          <w:lang w:val="zh-CN"/>
        </w:rPr>
        <w:t>在</w:t>
      </w:r>
      <w:r>
        <w:rPr>
          <w:lang w:val="zh-CN"/>
        </w:rPr>
        <w:t>合理的时间内提供说明，必要时提交相关证明材料；供应商不能证明其</w:t>
      </w:r>
      <w:r>
        <w:rPr>
          <w:rFonts w:hint="eastAsia"/>
          <w:lang w:val="zh-CN"/>
        </w:rPr>
        <w:t>最后</w:t>
      </w:r>
      <w:r>
        <w:rPr>
          <w:lang w:val="zh-CN"/>
        </w:rPr>
        <w:t>报价合理性的，</w:t>
      </w:r>
      <w:r>
        <w:rPr>
          <w:rFonts w:hint="eastAsia"/>
          <w:lang w:val="zh-CN"/>
        </w:rPr>
        <w:t>磋商</w:t>
      </w:r>
      <w:r>
        <w:rPr>
          <w:lang w:val="zh-CN"/>
        </w:rPr>
        <w:t>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050339DE">
      <w:pPr>
        <w:pStyle w:val="32"/>
        <w:ind w:firstLine="480"/>
        <w:rPr>
          <w:lang w:val="zh-CN"/>
        </w:rPr>
      </w:pPr>
      <w:r>
        <w:rPr>
          <w:rFonts w:hint="eastAsia"/>
          <w:lang w:val="zh-CN"/>
        </w:rPr>
        <w:t>5</w:t>
      </w:r>
      <w:r>
        <w:rPr>
          <w:lang w:val="zh-CN"/>
        </w:rPr>
        <w:t>.2</w:t>
      </w:r>
      <w:r>
        <w:rPr>
          <w:rFonts w:hint="eastAsia"/>
          <w:lang w:val="zh-CN"/>
        </w:rPr>
        <w:t>价格扣除：</w:t>
      </w:r>
      <w:r>
        <w:rPr>
          <w:lang w:val="zh-CN"/>
        </w:rPr>
        <w:t xml:space="preserve"> </w:t>
      </w:r>
    </w:p>
    <w:p w14:paraId="21FA5171">
      <w:pPr>
        <w:pStyle w:val="32"/>
        <w:numPr>
          <w:ilvl w:val="0"/>
          <w:numId w:val="16"/>
        </w:numPr>
        <w:shd w:val="clear" w:color="auto" w:fill="FFFFFF" w:themeFill="background1"/>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采购产品纳入创新产品应用示范推荐目录内企业、采购产品获得节能产品或环境标志产品认证证书的企业报价按照本竞争性磋商文件”供应商须知前附表”中的规定扣除，用扣除后的价格计算评审基准价。</w:t>
      </w:r>
    </w:p>
    <w:p w14:paraId="39DB51C5">
      <w:pPr>
        <w:pStyle w:val="32"/>
        <w:numPr>
          <w:ilvl w:val="0"/>
          <w:numId w:val="16"/>
        </w:numPr>
        <w:shd w:val="clear" w:color="auto" w:fill="FFFFFF" w:themeFill="background1"/>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45C4893D">
      <w:pPr>
        <w:pStyle w:val="32"/>
        <w:numPr>
          <w:ilvl w:val="0"/>
          <w:numId w:val="16"/>
        </w:numPr>
        <w:shd w:val="clear" w:color="auto" w:fill="FFFFFF" w:themeFill="background1"/>
        <w:ind w:firstLineChars="0"/>
      </w:pPr>
      <w:r>
        <w:rPr>
          <w:rFonts w:hint="eastAsia"/>
        </w:rPr>
        <w:t>专门面向中小企业、预留部分采购份额面向中小企业采购的项目或采购包，评审时不再进行价格扣除。</w:t>
      </w:r>
    </w:p>
    <w:p w14:paraId="2DC3A257">
      <w:pPr>
        <w:pStyle w:val="32"/>
        <w:ind w:firstLine="480"/>
        <w:rPr>
          <w:lang w:val="zh-CN"/>
        </w:rPr>
      </w:pPr>
      <w:r>
        <w:rPr>
          <w:lang w:val="zh-CN"/>
        </w:rPr>
        <w:t>5.3价格分采用</w:t>
      </w:r>
      <w:r>
        <w:rPr>
          <w:szCs w:val="24"/>
          <w:lang w:val="zh-CN"/>
        </w:rPr>
        <w:t>低价</w:t>
      </w:r>
      <w:r>
        <w:rPr>
          <w:lang w:val="zh-CN"/>
        </w:rPr>
        <w:t>优先法计算，不得去掉报价中的最高报价和最低报价。计算方法详见本章“三、</w:t>
      </w:r>
      <w:r>
        <w:rPr>
          <w:rFonts w:hint="eastAsia"/>
          <w:lang w:val="zh-CN"/>
        </w:rPr>
        <w:t>评审</w:t>
      </w:r>
      <w:r>
        <w:rPr>
          <w:lang w:val="zh-CN"/>
        </w:rPr>
        <w:t>标准”中的具体计算公式。</w:t>
      </w:r>
    </w:p>
    <w:p w14:paraId="0260FB97">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bookmarkStart w:id="498" w:name="_Toc102114951"/>
      <w:bookmarkStart w:id="499" w:name="_Toc102056249"/>
      <w:bookmarkStart w:id="500" w:name="_Toc102116183"/>
      <w:bookmarkStart w:id="501" w:name="_Toc102116053"/>
      <w:bookmarkStart w:id="502" w:name="_Toc102057749"/>
      <w:bookmarkStart w:id="503" w:name="_Toc102119884"/>
      <w:bookmarkStart w:id="504" w:name="_Toc102056250"/>
      <w:bookmarkStart w:id="505" w:name="_Toc102114952"/>
      <w:bookmarkStart w:id="506" w:name="_Toc102057750"/>
      <w:bookmarkStart w:id="507" w:name="_Toc102119885"/>
      <w:bookmarkStart w:id="508" w:name="_Toc102116054"/>
      <w:bookmarkStart w:id="509" w:name="_Toc102116184"/>
      <w:r>
        <w:rPr>
          <w:rFonts w:hint="eastAsia"/>
        </w:rPr>
        <w:t>计分办法</w:t>
      </w:r>
      <w:bookmarkEnd w:id="498"/>
      <w:bookmarkEnd w:id="499"/>
      <w:bookmarkEnd w:id="500"/>
      <w:bookmarkEnd w:id="501"/>
      <w:bookmarkEnd w:id="502"/>
      <w:bookmarkEnd w:id="503"/>
      <w:r>
        <w:rPr>
          <w:rFonts w:hint="eastAsia"/>
        </w:rPr>
        <w:t>及复核</w:t>
      </w:r>
    </w:p>
    <w:p w14:paraId="19D44813">
      <w:pPr>
        <w:pStyle w:val="32"/>
        <w:ind w:firstLine="480"/>
        <w:rPr>
          <w:kern w:val="0"/>
          <w:lang w:val="zh-CN"/>
        </w:rPr>
      </w:pPr>
      <w:r>
        <w:rPr>
          <w:rFonts w:hint="eastAsia"/>
          <w:lang w:val="zh-CN"/>
        </w:rPr>
        <w:t>6</w:t>
      </w:r>
      <w:r>
        <w:rPr>
          <w:lang w:val="zh-CN"/>
        </w:rPr>
        <w:t>.1</w:t>
      </w:r>
      <w:r>
        <w:rPr>
          <w:rFonts w:hint="eastAsia"/>
          <w:lang w:val="zh-CN"/>
        </w:rPr>
        <w:t>评审过程中，各项分值一般精确到小数点后两位，评审得分应当为商务评分、技术评分、报价评分之和。磋商小组各成员应当汇总每个供应商的得分。</w:t>
      </w:r>
    </w:p>
    <w:p w14:paraId="36401A88">
      <w:pPr>
        <w:pStyle w:val="32"/>
        <w:ind w:firstLine="480"/>
        <w:rPr>
          <w:lang w:val="zh-CN"/>
        </w:rPr>
      </w:pPr>
      <w:r>
        <w:rPr>
          <w:rFonts w:hint="eastAsia"/>
          <w:lang w:val="zh-CN"/>
        </w:rPr>
        <w:t>6</w:t>
      </w:r>
      <w:r>
        <w:rPr>
          <w:lang w:val="zh-CN"/>
        </w:rPr>
        <w:t>.2</w:t>
      </w:r>
      <w:r>
        <w:rPr>
          <w:rFonts w:hint="eastAsia"/>
          <w:lang w:val="zh-CN"/>
        </w:rPr>
        <w:t>评审结果汇总完成后，采购代理机构应当对评审结果进行复核。经复核发现存在以下情形之一的，磋商小组应当当场修改评审结果，并在评审报告中记载：</w:t>
      </w:r>
    </w:p>
    <w:p w14:paraId="49F773D6">
      <w:pPr>
        <w:pStyle w:val="32"/>
        <w:ind w:firstLine="480"/>
        <w:rPr>
          <w:rFonts w:cs="Times New Roman"/>
          <w:szCs w:val="20"/>
          <w:lang w:val="zh-CN"/>
        </w:rPr>
      </w:pPr>
      <w:r>
        <w:rPr>
          <w:rFonts w:hint="eastAsia"/>
          <w:lang w:val="zh-CN"/>
        </w:rPr>
        <w:t xml:space="preserve">（1）分值汇总计算错误的； </w:t>
      </w:r>
    </w:p>
    <w:p w14:paraId="051F6724">
      <w:pPr>
        <w:pStyle w:val="32"/>
        <w:ind w:firstLine="480"/>
        <w:rPr>
          <w:lang w:val="zh-CN"/>
        </w:rPr>
      </w:pPr>
      <w:r>
        <w:rPr>
          <w:rFonts w:hint="eastAsia"/>
          <w:lang w:val="zh-CN"/>
        </w:rPr>
        <w:t>（2）分项评分超出评分标准范围的；</w:t>
      </w:r>
    </w:p>
    <w:p w14:paraId="30E80FB0">
      <w:pPr>
        <w:pStyle w:val="32"/>
        <w:ind w:firstLine="480"/>
        <w:rPr>
          <w:lang w:val="zh-CN"/>
        </w:rPr>
      </w:pPr>
      <w:r>
        <w:rPr>
          <w:rFonts w:hint="eastAsia"/>
          <w:lang w:val="zh-CN"/>
        </w:rPr>
        <w:t>（3）</w:t>
      </w:r>
      <w:r>
        <w:rPr>
          <w:rFonts w:hint="eastAsia" w:cs="Helvetica"/>
          <w:szCs w:val="24"/>
          <w:lang w:val="zh-CN"/>
        </w:rPr>
        <w:t>磋商小组</w:t>
      </w:r>
      <w:r>
        <w:rPr>
          <w:rFonts w:hint="eastAsia"/>
          <w:lang w:val="zh-CN"/>
        </w:rPr>
        <w:t>成员对客观评审因素评分不一致的；</w:t>
      </w:r>
    </w:p>
    <w:p w14:paraId="14979ABB">
      <w:pPr>
        <w:pStyle w:val="32"/>
        <w:ind w:firstLine="480"/>
        <w:rPr>
          <w:lang w:val="zh-CN"/>
        </w:rPr>
      </w:pPr>
      <w:r>
        <w:rPr>
          <w:rFonts w:hint="eastAsia"/>
          <w:lang w:val="zh-CN"/>
        </w:rPr>
        <w:t>（4）经</w:t>
      </w:r>
      <w:r>
        <w:rPr>
          <w:rFonts w:hint="eastAsia" w:cs="Helvetica"/>
          <w:szCs w:val="24"/>
          <w:lang w:val="zh-CN"/>
        </w:rPr>
        <w:t>磋商小组</w:t>
      </w:r>
      <w:r>
        <w:rPr>
          <w:rFonts w:hint="eastAsia"/>
          <w:lang w:val="zh-CN"/>
        </w:rPr>
        <w:t>认定评分畸高、畸低的。</w:t>
      </w:r>
    </w:p>
    <w:p w14:paraId="7BD828E6">
      <w:pPr>
        <w:pStyle w:val="32"/>
        <w:ind w:firstLine="480"/>
        <w:rPr>
          <w:b/>
          <w:lang w:val="zh-CN"/>
        </w:rPr>
      </w:pPr>
      <w:r>
        <w:rPr>
          <w:rFonts w:hint="eastAsia"/>
          <w:lang w:val="zh-CN"/>
        </w:rPr>
        <w:t>6</w:t>
      </w:r>
      <w:r>
        <w:rPr>
          <w:lang w:val="zh-CN"/>
        </w:rPr>
        <w:t>.3</w:t>
      </w:r>
      <w:r>
        <w:rPr>
          <w:rFonts w:hint="eastAsia"/>
          <w:lang w:val="zh-CN"/>
        </w:rPr>
        <w:t>各供应商的最终得分为磋商小组所有成员对各供应商评审得分汇总后的算术平均值。</w:t>
      </w:r>
    </w:p>
    <w:p w14:paraId="223ED580">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r>
        <w:rPr>
          <w:rFonts w:hint="eastAsia"/>
        </w:rPr>
        <w:t>相同品牌处理原则</w:t>
      </w:r>
    </w:p>
    <w:p w14:paraId="35A342A2">
      <w:pPr>
        <w:pStyle w:val="32"/>
        <w:ind w:firstLine="480"/>
        <w:rPr>
          <w:strike/>
          <w:lang w:val="zh-CN"/>
        </w:rPr>
      </w:pPr>
      <w:r>
        <w:rPr>
          <w:lang w:val="zh-CN"/>
        </w:rPr>
        <w:t>7.1</w:t>
      </w:r>
      <w:r>
        <w:rPr>
          <w:rFonts w:hint="eastAsia"/>
          <w:lang w:val="zh-CN"/>
        </w:rPr>
        <w:t>单一产品采购（或非单一产品采购中的核心产品），</w:t>
      </w:r>
      <w:r>
        <w:rPr>
          <w:lang w:val="zh-CN"/>
        </w:rPr>
        <w:t>提供相同品牌产品的</w:t>
      </w:r>
      <w:r>
        <w:rPr>
          <w:rFonts w:hint="eastAsia"/>
          <w:lang w:val="zh-CN"/>
        </w:rPr>
        <w:t>且通过</w:t>
      </w:r>
      <w:r>
        <w:rPr>
          <w:rFonts w:hint="eastAsia"/>
          <w:bCs/>
        </w:rPr>
        <w:t>资格性和符合性审查的</w:t>
      </w:r>
      <w:r>
        <w:rPr>
          <w:lang w:val="zh-CN"/>
        </w:rPr>
        <w:t>不同供应商参加同一合同项下磋商的，</w:t>
      </w:r>
      <w:r>
        <w:rPr>
          <w:rFonts w:hint="eastAsia"/>
          <w:lang w:val="zh-CN"/>
        </w:rPr>
        <w:t>按</w:t>
      </w:r>
      <w:r>
        <w:rPr>
          <w:lang w:val="zh-CN"/>
        </w:rPr>
        <w:t>一家供应商计算，</w:t>
      </w:r>
      <w:r>
        <w:rPr>
          <w:rFonts w:hint="eastAsia"/>
          <w:lang w:val="zh-CN"/>
        </w:rPr>
        <w:t>评审</w:t>
      </w:r>
      <w:r>
        <w:rPr>
          <w:lang w:val="zh-CN"/>
        </w:rPr>
        <w:t>后得分</w:t>
      </w:r>
      <w:r>
        <w:rPr>
          <w:rFonts w:hint="eastAsia"/>
          <w:lang w:val="zh-CN"/>
        </w:rPr>
        <w:t>最</w:t>
      </w:r>
      <w:r>
        <w:rPr>
          <w:lang w:val="zh-CN"/>
        </w:rPr>
        <w:t>高的同品牌供应商获得成交</w:t>
      </w:r>
      <w:r>
        <w:rPr>
          <w:rFonts w:hint="eastAsia"/>
          <w:lang w:val="zh-CN"/>
        </w:rPr>
        <w:t>候选</w:t>
      </w:r>
      <w:r>
        <w:rPr>
          <w:lang w:val="zh-CN"/>
        </w:rPr>
        <w:t>供应商</w:t>
      </w:r>
      <w:r>
        <w:rPr>
          <w:rFonts w:hint="eastAsia"/>
          <w:lang w:val="zh-CN"/>
        </w:rPr>
        <w:t>推荐</w:t>
      </w:r>
      <w:r>
        <w:rPr>
          <w:lang w:val="zh-CN"/>
        </w:rPr>
        <w:t>资格，</w:t>
      </w:r>
      <w:r>
        <w:rPr>
          <w:rFonts w:hint="eastAsia"/>
          <w:lang w:val="zh-CN"/>
        </w:rPr>
        <w:t>评审得分</w:t>
      </w:r>
      <w:r>
        <w:rPr>
          <w:lang w:val="zh-CN"/>
        </w:rPr>
        <w:t>相同的</w:t>
      </w:r>
      <w:r>
        <w:rPr>
          <w:rFonts w:hint="eastAsia"/>
          <w:lang w:val="zh-CN"/>
        </w:rPr>
        <w:t>，由采购人确定或者采购人委托磋商小组以投票方式确定一家</w:t>
      </w:r>
      <w:r>
        <w:rPr>
          <w:lang w:val="zh-CN"/>
        </w:rPr>
        <w:t>供应商</w:t>
      </w:r>
      <w:r>
        <w:rPr>
          <w:rFonts w:hint="eastAsia"/>
          <w:lang w:val="zh-CN"/>
        </w:rPr>
        <w:t>获得成交候选供应商推荐资格，其它同品牌供应商不作为成交候选供应商。</w:t>
      </w:r>
    </w:p>
    <w:p w14:paraId="7CC50DA1">
      <w:pPr>
        <w:pStyle w:val="32"/>
        <w:ind w:firstLine="480"/>
        <w:rPr>
          <w:lang w:val="zh-CN"/>
        </w:rPr>
      </w:pPr>
      <w:r>
        <w:rPr>
          <w:rFonts w:hint="eastAsia"/>
          <w:lang w:val="zh-CN"/>
        </w:rPr>
        <w:t>7</w:t>
      </w:r>
      <w:r>
        <w:rPr>
          <w:lang w:val="zh-CN"/>
        </w:rPr>
        <w:t>.2</w:t>
      </w:r>
      <w:r>
        <w:rPr>
          <w:rFonts w:hint="eastAsia"/>
          <w:lang w:val="zh-CN"/>
        </w:rPr>
        <w:t>非单一产品采购项目，采购人应当根据采购项目技术构成、产品价格比重等合理确定一个核心产品（采购清单中作“与核心产品相同〈或同一〉品牌”实质性要求的产品，视为一个核心产品），并以“核心产品”在竞争性磋商文件中载明，评审时按前款规定处理。</w:t>
      </w:r>
    </w:p>
    <w:p w14:paraId="7C09836C">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r>
        <w:rPr>
          <w:rFonts w:hint="eastAsia"/>
        </w:rPr>
        <w:t>评审报告</w:t>
      </w:r>
      <w:bookmarkEnd w:id="504"/>
      <w:bookmarkEnd w:id="505"/>
      <w:bookmarkEnd w:id="506"/>
      <w:bookmarkEnd w:id="507"/>
      <w:bookmarkEnd w:id="508"/>
      <w:bookmarkEnd w:id="509"/>
    </w:p>
    <w:p w14:paraId="6DBEECC4">
      <w:pPr>
        <w:pStyle w:val="32"/>
        <w:ind w:firstLine="480"/>
        <w:rPr>
          <w:rFonts w:cs="Helvetica"/>
          <w:szCs w:val="24"/>
          <w:lang w:val="zh-CN"/>
        </w:rPr>
      </w:pPr>
      <w:r>
        <w:rPr>
          <w:rFonts w:hint="eastAsia" w:cs="Helvetica"/>
          <w:szCs w:val="24"/>
          <w:lang w:val="zh-CN"/>
        </w:rPr>
        <w:t>8</w:t>
      </w:r>
      <w:r>
        <w:rPr>
          <w:rFonts w:cs="Helvetica"/>
          <w:szCs w:val="24"/>
          <w:lang w:val="zh-CN"/>
        </w:rPr>
        <w:t>.1</w:t>
      </w:r>
      <w:r>
        <w:rPr>
          <w:rFonts w:hint="eastAsia" w:cs="Helvetica"/>
          <w:szCs w:val="24"/>
          <w:lang w:val="zh-CN"/>
        </w:rPr>
        <w:t>磋商小组</w:t>
      </w:r>
      <w:r>
        <w:rPr>
          <w:rFonts w:hint="eastAsia"/>
        </w:rPr>
        <w:t>从质量和服务均能满足磋商文件实质性要求的供应商中，按照综合得分由高到低的顺序推荐3名</w:t>
      </w:r>
      <w:r>
        <w:rPr>
          <w:rFonts w:hint="eastAsia"/>
          <w:szCs w:val="24"/>
          <w:lang w:val="zh-CN"/>
        </w:rPr>
        <w:t>（</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w:t>
      </w:r>
      <w:r>
        <w:rPr>
          <w:szCs w:val="24"/>
          <w:lang w:val="zh-CN"/>
        </w:rPr>
        <w:t>）</w:t>
      </w:r>
      <w:r>
        <w:rPr>
          <w:rFonts w:hint="eastAsia"/>
        </w:rPr>
        <w:t>以上</w:t>
      </w:r>
      <w:r>
        <w:rPr>
          <w:rFonts w:hint="eastAsia" w:cs="Helvetica"/>
          <w:szCs w:val="24"/>
          <w:lang w:val="zh-CN"/>
        </w:rPr>
        <w:t>成交</w:t>
      </w:r>
      <w:r>
        <w:rPr>
          <w:rFonts w:hint="eastAsia"/>
        </w:rPr>
        <w:t>候选供应商。评审得</w:t>
      </w:r>
      <w:r>
        <w:t>分相同的，</w:t>
      </w:r>
      <w:r>
        <w:rPr>
          <w:rFonts w:hint="eastAsia" w:cs="Helvetica"/>
          <w:szCs w:val="24"/>
          <w:lang w:val="zh-CN"/>
        </w:rPr>
        <w:t>磋商小组</w:t>
      </w:r>
      <w:r>
        <w:rPr>
          <w:rFonts w:hint="eastAsia"/>
        </w:rPr>
        <w:t>按照最后报价由低到高的顺序</w:t>
      </w:r>
      <w:r>
        <w:t>推荐</w:t>
      </w:r>
      <w:r>
        <w:rPr>
          <w:rFonts w:hint="eastAsia"/>
        </w:rPr>
        <w:t>；得分相同且最后报价相同的，按技术优劣顺序推荐</w:t>
      </w:r>
      <w:r>
        <w:rPr>
          <w:rFonts w:hint="eastAsia" w:cs="Helvetica"/>
          <w:szCs w:val="24"/>
          <w:lang w:val="zh-CN"/>
        </w:rPr>
        <w:t>。响应文件满足磋商文件全部实质性要求且评审得分</w:t>
      </w:r>
      <w:r>
        <w:rPr>
          <w:rFonts w:cs="Helvetica"/>
          <w:szCs w:val="24"/>
          <w:lang w:val="zh-CN"/>
        </w:rPr>
        <w:t>最高</w:t>
      </w:r>
      <w:r>
        <w:rPr>
          <w:rFonts w:hint="eastAsia" w:cs="Helvetica"/>
          <w:szCs w:val="24"/>
          <w:lang w:val="zh-CN"/>
        </w:rPr>
        <w:t>的供应商为排名第一的成交候选供应商。</w:t>
      </w:r>
    </w:p>
    <w:p w14:paraId="761ED922">
      <w:pPr>
        <w:pStyle w:val="32"/>
        <w:ind w:firstLine="480"/>
        <w:rPr>
          <w:rFonts w:cs="Helvetica"/>
          <w:szCs w:val="24"/>
          <w:lang w:val="zh-CN"/>
        </w:rPr>
      </w:pPr>
      <w:r>
        <w:rPr>
          <w:rFonts w:hint="eastAsia"/>
        </w:rPr>
        <w:t>8</w:t>
      </w:r>
      <w:r>
        <w:t>.2</w:t>
      </w:r>
      <w:r>
        <w:rPr>
          <w:rFonts w:hint="eastAsia"/>
        </w:rPr>
        <w:t>磋商小组依据评审结果，按评审得分</w:t>
      </w:r>
      <w:r>
        <w:t>由</w:t>
      </w:r>
      <w:r>
        <w:rPr>
          <w:rFonts w:hint="eastAsia"/>
        </w:rPr>
        <w:t>高至</w:t>
      </w:r>
      <w:r>
        <w:t>低</w:t>
      </w:r>
      <w:r>
        <w:rPr>
          <w:rFonts w:hint="eastAsia"/>
        </w:rPr>
        <w:t>的顺序向采购人推荐</w:t>
      </w:r>
      <w:r>
        <w:t>3家</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2家）以上成交候选供应商名单，并形成评审报告。</w:t>
      </w:r>
    </w:p>
    <w:p w14:paraId="0254AFFF">
      <w:pPr>
        <w:pStyle w:val="32"/>
        <w:ind w:firstLine="480"/>
        <w:rPr>
          <w:rFonts w:cs="Helvetica"/>
          <w:szCs w:val="24"/>
          <w:lang w:val="zh-CN"/>
        </w:rPr>
      </w:pPr>
      <w:r>
        <w:rPr>
          <w:rFonts w:hint="eastAsia" w:cs="Helvetica"/>
          <w:szCs w:val="24"/>
          <w:lang w:val="zh-CN"/>
        </w:rPr>
        <w:t>8</w:t>
      </w:r>
      <w:r>
        <w:rPr>
          <w:rFonts w:cs="Helvetica"/>
          <w:szCs w:val="24"/>
          <w:lang w:val="zh-CN"/>
        </w:rPr>
        <w:t>.3</w:t>
      </w:r>
      <w:r>
        <w:rPr>
          <w:rFonts w:hint="eastAsia" w:cs="Helvetica"/>
          <w:szCs w:val="24"/>
          <w:lang w:val="zh-CN"/>
        </w:rPr>
        <w:t>磋商小组应当在评审报告上签名，对自己的评审意见承担法律责任。对需要共同认定的事项存在争议的，应当按照少数服从多数的原则作出结论。持不同意见的磋商小组成员应当在评审报告上签署不同意见，并说明理由，否则视为同意评审报告。</w:t>
      </w:r>
    </w:p>
    <w:p w14:paraId="44F806AE">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bookmarkStart w:id="510" w:name="_Toc102056217"/>
      <w:bookmarkStart w:id="511" w:name="_Toc102114919"/>
      <w:bookmarkStart w:id="512" w:name="_Toc102116021"/>
      <w:bookmarkStart w:id="513" w:name="_Toc102119852"/>
      <w:bookmarkStart w:id="514" w:name="_Toc102057717"/>
      <w:bookmarkStart w:id="515" w:name="_Toc102116151"/>
      <w:r>
        <w:rPr>
          <w:rFonts w:hint="eastAsia"/>
        </w:rPr>
        <w:t>应予终止采购活动</w:t>
      </w:r>
      <w:r>
        <w:t>的</w:t>
      </w:r>
      <w:r>
        <w:rPr>
          <w:rFonts w:hint="eastAsia"/>
        </w:rPr>
        <w:t>情形</w:t>
      </w:r>
      <w:bookmarkEnd w:id="510"/>
      <w:bookmarkEnd w:id="511"/>
      <w:bookmarkEnd w:id="512"/>
      <w:bookmarkEnd w:id="513"/>
      <w:bookmarkEnd w:id="514"/>
      <w:bookmarkEnd w:id="515"/>
    </w:p>
    <w:p w14:paraId="12EF991B">
      <w:pPr>
        <w:pStyle w:val="32"/>
        <w:ind w:firstLine="480"/>
        <w:rPr>
          <w:lang w:val="zh-CN"/>
        </w:rPr>
      </w:pPr>
      <w:r>
        <w:rPr>
          <w:rFonts w:hint="eastAsia"/>
          <w:lang w:val="zh-CN"/>
        </w:rPr>
        <w:t>9</w:t>
      </w:r>
      <w:r>
        <w:rPr>
          <w:lang w:val="zh-CN"/>
        </w:rPr>
        <w:t>.1</w:t>
      </w:r>
      <w:r>
        <w:rPr>
          <w:rFonts w:hint="eastAsia"/>
          <w:lang w:val="zh-CN"/>
        </w:rPr>
        <w:t>在竞争性磋商采购过程中，出现下列情形之一的，应当终止</w:t>
      </w:r>
      <w:r>
        <w:rPr>
          <w:lang w:val="zh-CN"/>
        </w:rPr>
        <w:t>采购</w:t>
      </w:r>
      <w:r>
        <w:rPr>
          <w:rFonts w:hint="eastAsia"/>
          <w:lang w:val="zh-CN"/>
        </w:rPr>
        <w:t>活动：</w:t>
      </w:r>
    </w:p>
    <w:p w14:paraId="3517A570">
      <w:pPr>
        <w:pStyle w:val="32"/>
        <w:ind w:firstLine="480"/>
      </w:pPr>
      <w:r>
        <w:rPr>
          <w:rFonts w:hint="eastAsia"/>
        </w:rPr>
        <w:t>（1）因情况变化，不再符合规定的竞争性磋商采购方式适用情形的；</w:t>
      </w:r>
    </w:p>
    <w:p w14:paraId="4217408F">
      <w:pPr>
        <w:pStyle w:val="32"/>
        <w:ind w:firstLine="480"/>
      </w:pPr>
      <w:r>
        <w:rPr>
          <w:rFonts w:hint="eastAsia"/>
        </w:rPr>
        <w:t>（2）出现影响采购公正的违法、违规行为的；</w:t>
      </w:r>
    </w:p>
    <w:p w14:paraId="20E82AB6">
      <w:pPr>
        <w:pStyle w:val="32"/>
        <w:ind w:firstLine="480"/>
      </w:pPr>
      <w:r>
        <w:rPr>
          <w:rFonts w:hint="eastAsia"/>
        </w:rPr>
        <w:t>（3）在采购过程中符合要求的供应商或者报价未超过采购预算的供应商不足</w:t>
      </w:r>
      <w:r>
        <w:t>3家的（市场竞争不充分的科研项目、需要扶持的科技成果转化项目以及政府购买服务项目&lt;含政府和社会资本合作项目&gt;）的</w:t>
      </w:r>
      <w:r>
        <w:rPr>
          <w:rFonts w:hint="eastAsia"/>
        </w:rPr>
        <w:t>提交最后报价的供应商</w:t>
      </w:r>
      <w:r>
        <w:t>可以为2家）</w:t>
      </w:r>
      <w:r>
        <w:rPr>
          <w:rFonts w:hint="eastAsia"/>
        </w:rPr>
        <w:t>。</w:t>
      </w:r>
    </w:p>
    <w:p w14:paraId="27E1434A">
      <w:pPr>
        <w:pStyle w:val="32"/>
        <w:ind w:firstLine="480"/>
        <w:rPr>
          <w:lang w:val="zh-CN"/>
        </w:rPr>
      </w:pPr>
      <w:r>
        <w:rPr>
          <w:rFonts w:hint="eastAsia"/>
          <w:lang w:val="zh-CN"/>
        </w:rPr>
        <w:t>9</w:t>
      </w:r>
      <w:r>
        <w:rPr>
          <w:lang w:val="zh-CN"/>
        </w:rPr>
        <w:t>.2</w:t>
      </w:r>
      <w:r>
        <w:rPr>
          <w:rFonts w:hint="eastAsia"/>
          <w:lang w:val="zh-CN"/>
        </w:rPr>
        <w:t>采购活动</w:t>
      </w:r>
      <w:r>
        <w:rPr>
          <w:lang w:val="zh-CN"/>
        </w:rPr>
        <w:t>终止</w:t>
      </w:r>
      <w:r>
        <w:rPr>
          <w:rFonts w:hint="eastAsia"/>
          <w:lang w:val="zh-CN"/>
        </w:rPr>
        <w:t>后，</w:t>
      </w:r>
      <w:r>
        <w:rPr>
          <w:rFonts w:hint="eastAsia" w:cs="Helvetica"/>
          <w:lang w:val="zh-CN"/>
        </w:rPr>
        <w:t>采购</w:t>
      </w:r>
      <w:r>
        <w:rPr>
          <w:rFonts w:hint="eastAsia"/>
          <w:lang w:val="zh-CN"/>
        </w:rPr>
        <w:t>人应当将终止理由告知所有供应商。</w:t>
      </w:r>
    </w:p>
    <w:p w14:paraId="35FD33AD">
      <w:pPr>
        <w:pStyle w:val="5"/>
        <w:keepNext/>
        <w:keepLines/>
        <w:pageBreakBefore w:val="0"/>
        <w:widowControl w:val="0"/>
        <w:numPr>
          <w:ilvl w:val="0"/>
          <w:numId w:val="15"/>
        </w:numPr>
        <w:kinsoku/>
        <w:wordWrap/>
        <w:overflowPunct/>
        <w:topLinePunct w:val="0"/>
        <w:autoSpaceDE/>
        <w:autoSpaceDN/>
        <w:bidi w:val="0"/>
        <w:adjustRightInd/>
        <w:snapToGrid/>
        <w:spacing w:before="0" w:after="0" w:line="377" w:lineRule="auto"/>
        <w:ind w:left="420"/>
        <w:textAlignment w:val="auto"/>
      </w:pPr>
      <w:bookmarkStart w:id="516" w:name="_Toc102114920"/>
      <w:bookmarkStart w:id="517" w:name="_Toc102119853"/>
      <w:bookmarkStart w:id="518" w:name="_Toc102057718"/>
      <w:bookmarkStart w:id="519" w:name="_Toc102116152"/>
      <w:bookmarkStart w:id="520" w:name="_Toc102056218"/>
      <w:bookmarkStart w:id="521" w:name="_Toc102116022"/>
      <w:r>
        <w:rPr>
          <w:rFonts w:hint="eastAsia"/>
        </w:rPr>
        <w:t>停止评审的情形</w:t>
      </w:r>
      <w:bookmarkEnd w:id="516"/>
      <w:bookmarkEnd w:id="517"/>
      <w:bookmarkEnd w:id="518"/>
      <w:bookmarkEnd w:id="519"/>
      <w:bookmarkEnd w:id="520"/>
      <w:bookmarkEnd w:id="521"/>
    </w:p>
    <w:p w14:paraId="2E8A9492">
      <w:pPr>
        <w:pStyle w:val="32"/>
        <w:ind w:firstLine="480"/>
        <w:rPr>
          <w:lang w:val="zh-CN"/>
        </w:rPr>
      </w:pPr>
      <w:r>
        <w:rPr>
          <w:rFonts w:hint="eastAsia"/>
          <w:lang w:val="zh-CN"/>
        </w:rPr>
        <w:t>1</w:t>
      </w:r>
      <w:r>
        <w:rPr>
          <w:lang w:val="zh-CN"/>
        </w:rPr>
        <w:t>0.1</w:t>
      </w:r>
      <w:r>
        <w:rPr>
          <w:rFonts w:hint="eastAsia"/>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D64CBF9">
      <w:pPr>
        <w:pStyle w:val="3"/>
        <w:numPr>
          <w:ilvl w:val="0"/>
          <w:numId w:val="13"/>
        </w:numPr>
      </w:pPr>
      <w:bookmarkStart w:id="522" w:name="_Toc163493637"/>
      <w:bookmarkStart w:id="523" w:name="_Toc2336"/>
      <w:bookmarkStart w:id="524" w:name="_Toc23909"/>
      <w:bookmarkStart w:id="525" w:name="_Toc16075"/>
      <w:r>
        <w:rPr>
          <w:rFonts w:hint="eastAsia"/>
        </w:rPr>
        <w:t>评审标准</w:t>
      </w:r>
      <w:bookmarkEnd w:id="522"/>
      <w:bookmarkEnd w:id="523"/>
      <w:bookmarkEnd w:id="524"/>
      <w:bookmarkEnd w:id="525"/>
    </w:p>
    <w:p w14:paraId="3D83FCD4">
      <w:pPr>
        <w:pStyle w:val="4"/>
        <w:numPr>
          <w:ilvl w:val="0"/>
          <w:numId w:val="17"/>
        </w:numPr>
      </w:pPr>
      <w:bookmarkStart w:id="526" w:name="_Toc25385"/>
      <w:bookmarkStart w:id="527" w:name="_Toc32258"/>
      <w:bookmarkStart w:id="528" w:name="_Toc163493638"/>
      <w:r>
        <w:rPr>
          <w:rFonts w:hint="eastAsia"/>
        </w:rPr>
        <w:t>资格性审查表</w:t>
      </w:r>
      <w:bookmarkEnd w:id="526"/>
      <w:bookmarkEnd w:id="527"/>
      <w:bookmarkEnd w:id="528"/>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21"/>
        <w:gridCol w:w="2912"/>
        <w:gridCol w:w="5228"/>
      </w:tblGrid>
      <w:tr w14:paraId="5D7A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0021FC">
            <w:pPr>
              <w:pStyle w:val="43"/>
              <w:jc w:val="center"/>
              <w:rPr>
                <w:b/>
                <w:bCs/>
                <w:sz w:val="24"/>
              </w:rPr>
            </w:pPr>
            <w:bookmarkStart w:id="529" w:name="_Hlk161711060"/>
            <w:bookmarkStart w:id="530" w:name="_Toc156490348"/>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D6531E">
            <w:pPr>
              <w:pStyle w:val="43"/>
              <w:jc w:val="center"/>
              <w:rPr>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C04EA7">
            <w:pPr>
              <w:pStyle w:val="43"/>
              <w:jc w:val="center"/>
              <w:rPr>
                <w:b/>
                <w:bCs/>
              </w:rPr>
            </w:pPr>
            <w:r>
              <w:rPr>
                <w:rFonts w:hint="eastAsia"/>
                <w:b/>
                <w:bCs/>
              </w:rPr>
              <w:t>审查内容</w:t>
            </w:r>
          </w:p>
        </w:tc>
      </w:tr>
      <w:tr w14:paraId="08A5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61A53560">
            <w:pPr>
              <w:pStyle w:val="43"/>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7368128">
            <w:pPr>
              <w:pStyle w:val="43"/>
              <w:jc w:val="both"/>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714BCF9C">
            <w:pPr>
              <w:pStyle w:val="43"/>
              <w:jc w:val="both"/>
            </w:pPr>
            <w:r>
              <w:rPr>
                <w:rFonts w:hint="eastAsia"/>
              </w:rPr>
              <w:t>法人或者其他组织的营业执照等证明文件，自然人的身份证明。</w:t>
            </w:r>
          </w:p>
          <w:p w14:paraId="6628B269">
            <w:pPr>
              <w:pStyle w:val="43"/>
              <w:jc w:val="both"/>
            </w:pPr>
            <w:r>
              <w:rPr>
                <w:rFonts w:hint="eastAsia"/>
              </w:rPr>
              <w:t>（1）企业应提供“营业执照”；</w:t>
            </w:r>
          </w:p>
          <w:p w14:paraId="737837A2">
            <w:pPr>
              <w:pStyle w:val="43"/>
              <w:jc w:val="both"/>
            </w:pPr>
            <w:r>
              <w:rPr>
                <w:rFonts w:hint="eastAsia"/>
              </w:rPr>
              <w:t>（2）事业单位应提供“事业单位法人证书”；</w:t>
            </w:r>
          </w:p>
          <w:p w14:paraId="30F1760C">
            <w:pPr>
              <w:pStyle w:val="43"/>
              <w:jc w:val="both"/>
            </w:pPr>
            <w:r>
              <w:rPr>
                <w:rFonts w:hint="eastAsia"/>
              </w:rPr>
              <w:t>（3）非企业专业服务机构应提供执业许可证等证明文件；</w:t>
            </w:r>
          </w:p>
          <w:p w14:paraId="0957246D">
            <w:pPr>
              <w:pStyle w:val="43"/>
              <w:jc w:val="both"/>
            </w:pPr>
            <w:r>
              <w:rPr>
                <w:rFonts w:hint="eastAsia"/>
              </w:rPr>
              <w:t>（4）个体工商户应提供“个体工商户营业执照”；</w:t>
            </w:r>
          </w:p>
          <w:p w14:paraId="37F86EBD">
            <w:pPr>
              <w:pStyle w:val="43"/>
              <w:jc w:val="both"/>
            </w:pPr>
            <w:r>
              <w:rPr>
                <w:rFonts w:hint="eastAsia"/>
              </w:rPr>
              <w:t>（5）自然人应提供自然人身份证明。</w:t>
            </w:r>
          </w:p>
        </w:tc>
      </w:tr>
      <w:tr w14:paraId="5632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67111C">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9915763">
            <w:pPr>
              <w:pStyle w:val="43"/>
              <w:jc w:val="both"/>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544D06CF">
            <w:pPr>
              <w:pStyle w:val="43"/>
            </w:pPr>
            <w:r>
              <w:rPr>
                <w:rFonts w:hint="eastAsia"/>
              </w:rPr>
              <w:t>由供应商对以下内容提供书面承诺或声明，或提供相应证明材料。</w:t>
            </w:r>
          </w:p>
          <w:p w14:paraId="5CB9BA04">
            <w:pPr>
              <w:pStyle w:val="43"/>
            </w:pPr>
            <w:r>
              <w:rPr>
                <w:rFonts w:hint="eastAsia"/>
              </w:rPr>
              <w:t>（</w:t>
            </w:r>
            <w:r>
              <w:t>1</w:t>
            </w:r>
            <w:r>
              <w:rPr>
                <w:color w:val="auto"/>
              </w:rPr>
              <w:t>）供应商是法人的，应具有上一年度（</w:t>
            </w:r>
            <w:r>
              <w:rPr>
                <w:rFonts w:hint="eastAsia"/>
                <w:color w:val="auto"/>
                <w:u w:val="single"/>
                <w:lang w:val="en-US" w:eastAsia="zh-CN"/>
              </w:rPr>
              <w:t>2023</w:t>
            </w:r>
            <w:r>
              <w:rPr>
                <w:color w:val="auto"/>
              </w:rPr>
              <w:t>年度或</w:t>
            </w:r>
            <w:r>
              <w:rPr>
                <w:rFonts w:hint="eastAsia"/>
                <w:color w:val="auto"/>
                <w:u w:val="single"/>
                <w:lang w:val="en-US" w:eastAsia="zh-CN"/>
              </w:rPr>
              <w:t>2024</w:t>
            </w:r>
            <w:r>
              <w:rPr>
                <w:color w:val="auto"/>
              </w:rPr>
              <w:t>年度）经审计的财务报告，</w:t>
            </w:r>
            <w:r>
              <w:t>或其基本开户银行出具的资信证明。其他组织和自然人，没有经审计的财务报告，应具有银行出具的资信证明。</w:t>
            </w:r>
          </w:p>
          <w:p w14:paraId="6B4BD7EC">
            <w:pPr>
              <w:pStyle w:val="43"/>
            </w:pPr>
            <w:r>
              <w:rPr>
                <w:rFonts w:hint="eastAsia"/>
              </w:rPr>
              <w:t>（</w:t>
            </w:r>
            <w:r>
              <w:t>2）有专业担保机构对供应商进行资信审查后出具投标担保函的，可以不用具备经审计的财务报告和银行资信证明文件。</w:t>
            </w:r>
          </w:p>
        </w:tc>
      </w:tr>
      <w:tr w14:paraId="5956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B26F0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2367446">
            <w:pPr>
              <w:pStyle w:val="43"/>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2907CB0A">
            <w:pPr>
              <w:pStyle w:val="43"/>
            </w:pPr>
            <w:r>
              <w:rPr>
                <w:rFonts w:hint="eastAsia"/>
              </w:rPr>
              <w:t>由供应商提供书面承诺或声明，或提供相应证明材料。</w:t>
            </w:r>
          </w:p>
        </w:tc>
      </w:tr>
      <w:tr w14:paraId="2065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99F43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8D8853D">
            <w:pPr>
              <w:pStyle w:val="43"/>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475E01A2">
            <w:pPr>
              <w:pStyle w:val="43"/>
            </w:pPr>
            <w:r>
              <w:rPr>
                <w:rFonts w:hint="eastAsia"/>
              </w:rPr>
              <w:t>由供应商对以下内容提供书面承诺或声明，或提供相应证明材料。</w:t>
            </w:r>
          </w:p>
          <w:p w14:paraId="763CA3C0">
            <w:pPr>
              <w:pStyle w:val="43"/>
            </w:pPr>
            <w:r>
              <w:rPr>
                <w:rFonts w:hint="eastAsia"/>
              </w:rPr>
              <w:t>（</w:t>
            </w:r>
            <w:r>
              <w:t>1）供应商依法缴纳税收：本项目公告发布时间前12个月内（至少有1个月）缴纳税收的凭据（完税证、缴款书、印花税票、银行代扣（代缴）转账凭证等均可）；</w:t>
            </w:r>
          </w:p>
          <w:p w14:paraId="0E4AB8C8">
            <w:pPr>
              <w:pStyle w:val="43"/>
            </w:pPr>
            <w:r>
              <w:rPr>
                <w:rFonts w:hint="eastAsia"/>
              </w:rPr>
              <w:t>（</w:t>
            </w:r>
            <w:r>
              <w:t>2）供应商依法缴纳社会保障资金：本项目公告发布时间前12个月内（至少有1个月）缴纳社会保险的凭据（专用收据或社会保险交纳清单）；</w:t>
            </w:r>
          </w:p>
          <w:p w14:paraId="77D1E6E1">
            <w:pPr>
              <w:pStyle w:val="43"/>
            </w:pPr>
            <w:r>
              <w:rPr>
                <w:rFonts w:hint="eastAsia"/>
              </w:rPr>
              <w:t>（</w:t>
            </w:r>
            <w:r>
              <w:t>3）供应商为其他组织或自然人的，也应满足以上要求；</w:t>
            </w:r>
          </w:p>
          <w:p w14:paraId="3A4E1FFC">
            <w:pPr>
              <w:pStyle w:val="43"/>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3BA42754">
            <w:pPr>
              <w:pStyle w:val="43"/>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09023476">
            <w:pPr>
              <w:pStyle w:val="43"/>
            </w:pPr>
            <w:r>
              <w:rPr>
                <w:rFonts w:hint="eastAsia"/>
              </w:rPr>
              <w:t>（</w:t>
            </w:r>
            <w:r>
              <w:t>6）依法免税或不需要缴纳社会保障资金的供应商，具有相应文件证明其依法免税或不需要交纳社会保障资金。</w:t>
            </w:r>
          </w:p>
        </w:tc>
      </w:tr>
      <w:tr w14:paraId="4EA8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C02B46">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C1E0871">
            <w:pPr>
              <w:pStyle w:val="43"/>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3EEEEC44">
            <w:pPr>
              <w:pStyle w:val="43"/>
            </w:pPr>
            <w:r>
              <w:rPr>
                <w:rFonts w:hint="eastAsia"/>
              </w:rPr>
              <w:t>由供应商提供书面承诺或声明，或提供相应证明材料。</w:t>
            </w:r>
          </w:p>
        </w:tc>
      </w:tr>
      <w:tr w14:paraId="2709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CF5B22">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07A003E">
            <w:pPr>
              <w:pStyle w:val="43"/>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4E7220E7">
            <w:pPr>
              <w:pStyle w:val="43"/>
            </w:pPr>
            <w:r>
              <w:rPr>
                <w:rFonts w:hint="eastAsia"/>
              </w:rPr>
              <w:t>由供应商提供书面承诺或声明，或提供相应证明材料。</w:t>
            </w:r>
          </w:p>
        </w:tc>
      </w:tr>
      <w:tr w14:paraId="3F2F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FBAE9B8">
            <w:pPr>
              <w:pStyle w:val="43"/>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BCA798F">
            <w:pPr>
              <w:pStyle w:val="43"/>
              <w:jc w:val="both"/>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1B29F4F6">
            <w:pPr>
              <w:pStyle w:val="43"/>
              <w:jc w:val="both"/>
            </w:pPr>
            <w:r>
              <w:rPr>
                <w:rFonts w:hint="eastAsia"/>
              </w:rPr>
              <w:t>由供应商在《响应函》中声明</w:t>
            </w:r>
          </w:p>
        </w:tc>
      </w:tr>
      <w:tr w14:paraId="3F7F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09228831">
            <w:pPr>
              <w:pStyle w:val="43"/>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B602A17">
            <w:pPr>
              <w:pStyle w:val="43"/>
              <w:jc w:val="both"/>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7E1242DC">
            <w:pPr>
              <w:pStyle w:val="43"/>
              <w:jc w:val="both"/>
            </w:pPr>
            <w:r>
              <w:rPr>
                <w:rFonts w:hint="eastAsia"/>
              </w:rPr>
              <w:t>由供应商在《响应函》中声明</w:t>
            </w:r>
          </w:p>
        </w:tc>
      </w:tr>
      <w:tr w14:paraId="025B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0865F073">
            <w:pPr>
              <w:pStyle w:val="43"/>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8E6D007">
            <w:pPr>
              <w:pStyle w:val="43"/>
              <w:jc w:val="both"/>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7366DEFD">
            <w:pPr>
              <w:pStyle w:val="43"/>
              <w:jc w:val="both"/>
            </w:pPr>
            <w:r>
              <w:rPr>
                <w:rFonts w:hint="eastAsia"/>
                <w:color w:val="auto"/>
                <w:lang w:eastAsia="zh-CN"/>
              </w:rPr>
              <w:t>投标人</w:t>
            </w:r>
            <w:r>
              <w:rPr>
                <w:rFonts w:hint="eastAsia"/>
                <w:color w:val="auto"/>
              </w:rPr>
              <w:t>须未被列入“信用中国”网站(www.creditchina.gov.cn)失信被执行人、重大税收违法失信主体、政府采购严重违法失信行为记录名单和“中国政府采购”网站（www.ccgp.gov.cn）政府采购严重违法失信行为记录名单（提供网站截图并加盖</w:t>
            </w:r>
            <w:r>
              <w:rPr>
                <w:rFonts w:hint="eastAsia"/>
                <w:color w:val="auto"/>
                <w:lang w:val="en-US" w:eastAsia="zh-CN"/>
              </w:rPr>
              <w:t>公</w:t>
            </w:r>
            <w:r>
              <w:rPr>
                <w:rFonts w:hint="eastAsia"/>
                <w:color w:val="auto"/>
              </w:rPr>
              <w:t>章，以本公告发布之后的查询日期为准）</w:t>
            </w:r>
            <w:r>
              <w:rPr>
                <w:rFonts w:hint="eastAsia"/>
              </w:rPr>
              <w:t>。</w:t>
            </w:r>
          </w:p>
        </w:tc>
      </w:tr>
      <w:tr w14:paraId="08D6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0FAA981">
            <w:pPr>
              <w:pStyle w:val="43"/>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tcPr>
          <w:p w14:paraId="1FE27190">
            <w:pPr>
              <w:pStyle w:val="43"/>
              <w:jc w:val="both"/>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4309723B">
            <w:pPr>
              <w:pStyle w:val="43"/>
              <w:jc w:val="both"/>
            </w:pPr>
            <w:r>
              <w:rPr/>
              <w:sym w:font="Wingdings" w:char="00FE"/>
            </w:r>
            <w:r>
              <w:rPr>
                <w:rFonts w:hint="eastAsia"/>
              </w:rPr>
              <w:t>支持中小企业发展资格要求：提供《中小企业声明函》，本项目供应商属于监狱企业或者残疾人福利性单位的，同时提供监狱企业证明材料或者《残疾人福利性单位声明函》；</w:t>
            </w:r>
          </w:p>
        </w:tc>
      </w:tr>
      <w:tr w14:paraId="344C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22723C0">
            <w:pPr>
              <w:pStyle w:val="43"/>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0CF7A297">
            <w:pPr>
              <w:pStyle w:val="43"/>
              <w:jc w:val="both"/>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25429AA5">
            <w:pPr>
              <w:pStyle w:val="43"/>
              <w:jc w:val="both"/>
            </w:pPr>
            <w:r>
              <w:rPr>
                <w:rFonts w:hint="eastAsia"/>
              </w:rPr>
              <w:t>详见第一章“竞争性磋商邀请”第二项“供应商资格要求”。</w:t>
            </w:r>
          </w:p>
        </w:tc>
      </w:tr>
      <w:bookmarkEnd w:id="529"/>
    </w:tbl>
    <w:p w14:paraId="72EF51F0">
      <w:pPr>
        <w:rPr>
          <w:b/>
          <w:bCs/>
        </w:rPr>
      </w:pPr>
      <w:r>
        <w:rPr>
          <w:rFonts w:hint="eastAsia"/>
          <w:b/>
          <w:bCs/>
        </w:rPr>
        <w:t>备注：</w:t>
      </w:r>
    </w:p>
    <w:p w14:paraId="0E6FCFA5">
      <w:pPr>
        <w:pStyle w:val="36"/>
        <w:numPr>
          <w:ilvl w:val="0"/>
          <w:numId w:val="19"/>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3E0D1628">
      <w:pPr>
        <w:pStyle w:val="36"/>
        <w:numPr>
          <w:ilvl w:val="0"/>
          <w:numId w:val="19"/>
        </w:numPr>
        <w:ind w:firstLineChars="0"/>
      </w:pPr>
      <w:r>
        <w:rPr>
          <w:rFonts w:hint="eastAsia"/>
          <w:lang w:val="zh-CN"/>
        </w:rPr>
        <w:t>信用信息核</w:t>
      </w:r>
      <w:r>
        <w:rPr>
          <w:rFonts w:hint="eastAsia"/>
        </w:rPr>
        <w:t>查</w:t>
      </w:r>
    </w:p>
    <w:p w14:paraId="1BAC99B8">
      <w:pPr>
        <w:pStyle w:val="32"/>
        <w:ind w:firstLine="480"/>
      </w:pPr>
      <w:r>
        <w:rPr>
          <w:rFonts w:hint="eastAsia"/>
        </w:rPr>
        <w:t>2.1资格审查当日应当核查供应商信用记录，供应商被列入失信被执行人、重大税收违法失信主体、政府采购严重违法失信行为记录名单的，采购代理机构拒绝其参与政府采购活动。</w:t>
      </w:r>
    </w:p>
    <w:p w14:paraId="019684E2">
      <w:pPr>
        <w:pStyle w:val="32"/>
        <w:ind w:firstLine="480"/>
      </w:pPr>
      <w:r>
        <w:rPr>
          <w:rFonts w:hint="eastAsia"/>
        </w:rPr>
        <w:t>2.2以联合体形式参与磋商的，应当核查联合体所有成员和信用记录，联合体成员存在不良信用记录的，视同联合体存在不良信用信息。</w:t>
      </w:r>
    </w:p>
    <w:p w14:paraId="2475E890">
      <w:pPr>
        <w:pStyle w:val="36"/>
        <w:numPr>
          <w:ilvl w:val="0"/>
          <w:numId w:val="19"/>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2A21A747">
      <w:pPr>
        <w:pStyle w:val="4"/>
        <w:numPr>
          <w:ilvl w:val="0"/>
          <w:numId w:val="17"/>
        </w:numPr>
      </w:pPr>
      <w:bookmarkStart w:id="531" w:name="_Toc30800"/>
      <w:bookmarkStart w:id="532" w:name="_Toc27954"/>
      <w:bookmarkStart w:id="533" w:name="_Toc163493639"/>
      <w:r>
        <w:rPr>
          <w:rFonts w:hint="eastAsia"/>
        </w:rPr>
        <w:t>符合性审查表</w:t>
      </w:r>
      <w:bookmarkEnd w:id="530"/>
      <w:bookmarkEnd w:id="531"/>
      <w:bookmarkEnd w:id="532"/>
      <w:bookmarkEnd w:id="533"/>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4"/>
        <w:gridCol w:w="2069"/>
        <w:gridCol w:w="6128"/>
      </w:tblGrid>
      <w:tr w14:paraId="7D522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477" w:type="pct"/>
            <w:shd w:val="clear" w:color="auto" w:fill="D8D8D8" w:themeFill="background1" w:themeFillShade="D9"/>
            <w:vAlign w:val="center"/>
          </w:tcPr>
          <w:p w14:paraId="36655350">
            <w:pPr>
              <w:pStyle w:val="43"/>
              <w:jc w:val="center"/>
              <w:rPr>
                <w:b/>
                <w:bCs/>
                <w:lang w:val="zh-CN"/>
              </w:rPr>
            </w:pPr>
            <w:r>
              <w:rPr>
                <w:rFonts w:hint="eastAsia"/>
                <w:b/>
                <w:bCs/>
                <w:lang w:val="zh-CN"/>
              </w:rPr>
              <w:t>序号</w:t>
            </w:r>
          </w:p>
        </w:tc>
        <w:tc>
          <w:tcPr>
            <w:tcW w:w="1141" w:type="pct"/>
            <w:shd w:val="clear" w:color="auto" w:fill="D8D8D8" w:themeFill="background1" w:themeFillShade="D9"/>
            <w:vAlign w:val="center"/>
          </w:tcPr>
          <w:p w14:paraId="05351AFB">
            <w:pPr>
              <w:pStyle w:val="43"/>
              <w:jc w:val="center"/>
              <w:rPr>
                <w:b/>
                <w:bCs/>
                <w:lang w:val="zh-CN"/>
              </w:rPr>
            </w:pPr>
            <w:r>
              <w:rPr>
                <w:rFonts w:hint="eastAsia"/>
                <w:b/>
                <w:bCs/>
                <w:lang w:val="zh-CN"/>
              </w:rPr>
              <w:t>审查项名称</w:t>
            </w:r>
          </w:p>
        </w:tc>
        <w:tc>
          <w:tcPr>
            <w:tcW w:w="3380" w:type="pct"/>
            <w:shd w:val="clear" w:color="auto" w:fill="D8D8D8" w:themeFill="background1" w:themeFillShade="D9"/>
            <w:vAlign w:val="center"/>
          </w:tcPr>
          <w:p w14:paraId="2BEC0A8D">
            <w:pPr>
              <w:pStyle w:val="43"/>
              <w:jc w:val="center"/>
              <w:rPr>
                <w:b/>
                <w:bCs/>
                <w:lang w:val="zh-CN"/>
              </w:rPr>
            </w:pPr>
            <w:r>
              <w:rPr>
                <w:rFonts w:hint="eastAsia"/>
                <w:b/>
                <w:bCs/>
                <w:lang w:val="zh-CN"/>
              </w:rPr>
              <w:t>审查内容</w:t>
            </w:r>
          </w:p>
        </w:tc>
      </w:tr>
      <w:tr w14:paraId="2E31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4463EB16">
            <w:pPr>
              <w:pStyle w:val="43"/>
              <w:numPr>
                <w:ilvl w:val="0"/>
                <w:numId w:val="20"/>
              </w:numPr>
              <w:ind w:left="420" w:leftChars="0" w:hanging="420" w:firstLineChars="0"/>
              <w:jc w:val="center"/>
              <w:rPr>
                <w:sz w:val="20"/>
                <w:lang w:val="zh-CN"/>
              </w:rPr>
            </w:pPr>
          </w:p>
        </w:tc>
        <w:tc>
          <w:tcPr>
            <w:tcW w:w="1141" w:type="pct"/>
            <w:vAlign w:val="center"/>
          </w:tcPr>
          <w:p w14:paraId="76DE619C">
            <w:pPr>
              <w:pStyle w:val="43"/>
              <w:rPr>
                <w:lang w:val="zh-CN"/>
              </w:rPr>
            </w:pPr>
            <w:r>
              <w:rPr>
                <w:rFonts w:hint="eastAsia"/>
                <w:lang w:val="zh-CN"/>
              </w:rPr>
              <w:t>磋商报价</w:t>
            </w:r>
          </w:p>
        </w:tc>
        <w:tc>
          <w:tcPr>
            <w:tcW w:w="3380" w:type="pct"/>
            <w:shd w:val="clear" w:color="auto" w:fill="auto"/>
            <w:vAlign w:val="center"/>
          </w:tcPr>
          <w:p w14:paraId="31AC9D9D">
            <w:pPr>
              <w:pStyle w:val="43"/>
              <w:numPr>
                <w:ilvl w:val="0"/>
                <w:numId w:val="21"/>
              </w:numPr>
              <w:rPr>
                <w:lang w:val="zh-CN"/>
              </w:rPr>
            </w:pPr>
            <w:r>
              <w:rPr>
                <w:rFonts w:hint="eastAsia"/>
                <w:lang w:val="zh-CN"/>
              </w:rPr>
              <w:t>总报价不超过项目（分包）预算金额或最高限价；</w:t>
            </w:r>
          </w:p>
          <w:p w14:paraId="398CF8E0">
            <w:pPr>
              <w:pStyle w:val="43"/>
              <w:numPr>
                <w:ilvl w:val="0"/>
                <w:numId w:val="21"/>
              </w:numPr>
              <w:ind w:left="540" w:leftChars="0" w:hanging="540" w:firstLineChars="0"/>
              <w:rPr>
                <w:lang w:val="zh-CN"/>
              </w:rPr>
            </w:pPr>
            <w:r>
              <w:rPr>
                <w:rFonts w:hint="eastAsia"/>
              </w:rPr>
              <w:t>报价不存在缺项、漏项。</w:t>
            </w:r>
          </w:p>
        </w:tc>
      </w:tr>
      <w:tr w14:paraId="7536B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23700B98">
            <w:pPr>
              <w:pStyle w:val="43"/>
              <w:numPr>
                <w:ilvl w:val="0"/>
                <w:numId w:val="20"/>
              </w:numPr>
              <w:ind w:left="420" w:leftChars="0" w:hanging="420" w:firstLineChars="0"/>
              <w:jc w:val="center"/>
              <w:rPr>
                <w:sz w:val="20"/>
                <w:lang w:val="zh-CN"/>
              </w:rPr>
            </w:pPr>
          </w:p>
        </w:tc>
        <w:tc>
          <w:tcPr>
            <w:tcW w:w="1141" w:type="pct"/>
            <w:vAlign w:val="center"/>
          </w:tcPr>
          <w:p w14:paraId="76A84C71">
            <w:pPr>
              <w:pStyle w:val="43"/>
              <w:rPr>
                <w:lang w:val="zh-CN"/>
              </w:rPr>
            </w:pPr>
            <w:r>
              <w:rPr>
                <w:rFonts w:hint="eastAsia"/>
                <w:lang w:val="zh-CN"/>
              </w:rPr>
              <w:t>响应文件编制</w:t>
            </w:r>
          </w:p>
        </w:tc>
        <w:tc>
          <w:tcPr>
            <w:tcW w:w="3380" w:type="pct"/>
            <w:shd w:val="clear" w:color="auto" w:fill="auto"/>
            <w:vAlign w:val="center"/>
          </w:tcPr>
          <w:p w14:paraId="5CD09EBE">
            <w:pPr>
              <w:pStyle w:val="43"/>
            </w:pPr>
            <w:r>
              <w:rPr>
                <w:rFonts w:hint="eastAsia"/>
                <w:lang w:val="zh-CN"/>
              </w:rPr>
              <w:t>（1）按照</w:t>
            </w:r>
            <w:r>
              <w:rPr>
                <w:rFonts w:hint="eastAsia"/>
              </w:rPr>
              <w:t>竞争性磋商文件要求提供</w:t>
            </w:r>
            <w:r>
              <w:rPr>
                <w:rFonts w:hint="eastAsia"/>
                <w:lang w:val="zh-CN"/>
              </w:rPr>
              <w:t>《</w:t>
            </w:r>
            <w:r>
              <w:rPr>
                <w:rFonts w:hint="eastAsia"/>
              </w:rPr>
              <w:t>磋商书》、《磋商报价明细表》；</w:t>
            </w:r>
          </w:p>
          <w:p w14:paraId="145C36F1">
            <w:pPr>
              <w:pStyle w:val="43"/>
            </w:pPr>
            <w:r>
              <w:rPr>
                <w:rFonts w:hint="eastAsia"/>
              </w:rPr>
              <w:t>（2）不存在两个或两个以上磋商方案；</w:t>
            </w:r>
          </w:p>
          <w:p w14:paraId="6188B4A8">
            <w:pPr>
              <w:pStyle w:val="43"/>
              <w:rPr>
                <w:sz w:val="20"/>
                <w:szCs w:val="20"/>
                <w:lang w:val="zh-CN"/>
              </w:rPr>
            </w:pPr>
            <w:r>
              <w:rPr>
                <w:rFonts w:hint="eastAsia"/>
              </w:rPr>
              <w:t>（3）按磋商文件要求盖章或签字（签章）。</w:t>
            </w:r>
          </w:p>
        </w:tc>
      </w:tr>
      <w:tr w14:paraId="723E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73262428">
            <w:pPr>
              <w:pStyle w:val="43"/>
              <w:numPr>
                <w:ilvl w:val="0"/>
                <w:numId w:val="20"/>
              </w:numPr>
              <w:ind w:left="420" w:leftChars="0" w:hanging="420" w:firstLineChars="0"/>
              <w:jc w:val="center"/>
              <w:rPr>
                <w:sz w:val="20"/>
                <w:lang w:val="zh-CN"/>
              </w:rPr>
            </w:pPr>
          </w:p>
        </w:tc>
        <w:tc>
          <w:tcPr>
            <w:tcW w:w="1141" w:type="pct"/>
            <w:vAlign w:val="center"/>
          </w:tcPr>
          <w:p w14:paraId="0C8D6982">
            <w:pPr>
              <w:pStyle w:val="43"/>
              <w:rPr>
                <w:rFonts w:cs="宋体"/>
                <w:color w:val="191919"/>
              </w:rPr>
            </w:pPr>
            <w:r>
              <w:rPr>
                <w:rFonts w:hint="eastAsia" w:cs="宋体"/>
                <w:color w:val="191919"/>
              </w:rPr>
              <w:t>响应的要求</w:t>
            </w:r>
          </w:p>
        </w:tc>
        <w:tc>
          <w:tcPr>
            <w:tcW w:w="3380" w:type="pct"/>
            <w:shd w:val="clear" w:color="auto" w:fill="auto"/>
            <w:vAlign w:val="center"/>
          </w:tcPr>
          <w:p w14:paraId="4E7326FC">
            <w:pPr>
              <w:pStyle w:val="43"/>
              <w:rPr>
                <w:lang w:val="zh-CN"/>
              </w:rPr>
            </w:pPr>
            <w:r>
              <w:rPr>
                <w:rFonts w:hint="eastAsia"/>
                <w:lang w:val="zh-CN"/>
              </w:rPr>
              <w:t>（1）</w:t>
            </w:r>
            <w:r>
              <w:rPr>
                <w:rFonts w:hint="eastAsia"/>
                <w:szCs w:val="21"/>
                <w:lang w:val="zh-CN"/>
              </w:rPr>
              <w:t>竞争性磋商文件</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71AF44F6">
            <w:pPr>
              <w:pStyle w:val="43"/>
              <w:rPr>
                <w:sz w:val="20"/>
                <w:szCs w:val="20"/>
                <w:lang w:val="zh-CN"/>
              </w:rPr>
            </w:pPr>
            <w:r>
              <w:rPr>
                <w:rFonts w:hint="eastAsia"/>
                <w:szCs w:val="21"/>
                <w:lang w:val="zh-CN"/>
              </w:rPr>
              <w:t>（2）提供所投货物（或服务）确定的参数值或功能表述，明确响应竞争性磋商文件采购需求。</w:t>
            </w:r>
          </w:p>
        </w:tc>
      </w:tr>
      <w:tr w14:paraId="2095D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62B0493C">
            <w:pPr>
              <w:pStyle w:val="43"/>
              <w:numPr>
                <w:ilvl w:val="0"/>
                <w:numId w:val="20"/>
              </w:numPr>
              <w:ind w:left="420" w:leftChars="0" w:hanging="420" w:firstLineChars="0"/>
              <w:jc w:val="center"/>
              <w:rPr>
                <w:sz w:val="20"/>
                <w:lang w:val="zh-CN"/>
              </w:rPr>
            </w:pPr>
          </w:p>
        </w:tc>
        <w:tc>
          <w:tcPr>
            <w:tcW w:w="1141" w:type="pct"/>
            <w:vAlign w:val="center"/>
          </w:tcPr>
          <w:p w14:paraId="116DF7C8">
            <w:pPr>
              <w:pStyle w:val="43"/>
              <w:rPr>
                <w:lang w:val="zh-CN"/>
              </w:rPr>
            </w:pPr>
            <w:r>
              <w:rPr>
                <w:rFonts w:hint="eastAsia"/>
                <w:lang w:val="zh-CN"/>
              </w:rPr>
              <w:t>其他实质性要求</w:t>
            </w:r>
          </w:p>
        </w:tc>
        <w:tc>
          <w:tcPr>
            <w:tcW w:w="3380" w:type="pct"/>
            <w:shd w:val="clear" w:color="auto" w:fill="auto"/>
            <w:vAlign w:val="center"/>
          </w:tcPr>
          <w:p w14:paraId="21F1F9C2">
            <w:pPr>
              <w:pStyle w:val="43"/>
              <w:rPr>
                <w:lang w:val="zh-CN"/>
              </w:rPr>
            </w:pPr>
            <w:r>
              <w:rPr>
                <w:rFonts w:hint="eastAsia"/>
                <w:lang w:val="zh-CN"/>
              </w:rPr>
              <w:t>（1）工期（服务期限）、质保期符合竞争性磋商文件要求；</w:t>
            </w:r>
          </w:p>
          <w:p w14:paraId="457872FE">
            <w:pPr>
              <w:pStyle w:val="43"/>
              <w:rPr>
                <w:sz w:val="20"/>
                <w:szCs w:val="20"/>
                <w:lang w:val="zh-CN"/>
              </w:rPr>
            </w:pPr>
            <w:r>
              <w:rPr>
                <w:rFonts w:hint="eastAsia"/>
                <w:sz w:val="20"/>
                <w:szCs w:val="20"/>
                <w:lang w:val="zh-CN"/>
              </w:rPr>
              <w:t>（</w:t>
            </w:r>
            <w:r>
              <w:rPr>
                <w:rFonts w:hint="eastAsia"/>
                <w:szCs w:val="21"/>
                <w:lang w:val="zh-CN" w:eastAsia="zh-CN"/>
              </w:rPr>
              <w:t>2</w:t>
            </w:r>
            <w:r>
              <w:rPr>
                <w:rFonts w:hint="eastAsia"/>
                <w:sz w:val="20"/>
                <w:szCs w:val="20"/>
                <w:lang w:val="zh-CN"/>
              </w:rPr>
              <w:t>）</w:t>
            </w:r>
            <w:r>
              <w:rPr>
                <w:rFonts w:hint="eastAsia"/>
                <w:lang w:val="zh-CN"/>
              </w:rPr>
              <w:t>磋商有效期符合竞争性磋商文件要求；</w:t>
            </w:r>
          </w:p>
          <w:p w14:paraId="7CC40171">
            <w:pPr>
              <w:pStyle w:val="43"/>
              <w:rPr>
                <w:sz w:val="20"/>
                <w:szCs w:val="20"/>
                <w:lang w:val="zh-CN"/>
              </w:rPr>
            </w:pPr>
            <w:r>
              <w:rPr>
                <w:rFonts w:hint="eastAsia"/>
                <w:szCs w:val="21"/>
                <w:lang w:val="zh-CN"/>
              </w:rPr>
              <w:t>（</w:t>
            </w:r>
            <w:r>
              <w:rPr>
                <w:rFonts w:hint="eastAsia"/>
                <w:szCs w:val="21"/>
                <w:lang w:val="en-US" w:eastAsia="zh-CN"/>
              </w:rPr>
              <w:t>3</w:t>
            </w:r>
            <w:r>
              <w:rPr>
                <w:rFonts w:hint="eastAsia"/>
                <w:szCs w:val="21"/>
                <w:lang w:val="zh-CN"/>
              </w:rPr>
              <w:t>）不存在采购人不能接受的附加条件。</w:t>
            </w:r>
          </w:p>
        </w:tc>
      </w:tr>
      <w:tr w14:paraId="2AF02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7A03D716">
            <w:pPr>
              <w:pStyle w:val="43"/>
              <w:numPr>
                <w:ilvl w:val="0"/>
                <w:numId w:val="20"/>
              </w:numPr>
              <w:ind w:left="420" w:leftChars="0" w:hanging="420" w:firstLineChars="0"/>
              <w:jc w:val="center"/>
              <w:rPr>
                <w:sz w:val="20"/>
                <w:lang w:val="zh-CN"/>
              </w:rPr>
            </w:pPr>
          </w:p>
        </w:tc>
        <w:tc>
          <w:tcPr>
            <w:tcW w:w="1141" w:type="pct"/>
            <w:vAlign w:val="center"/>
          </w:tcPr>
          <w:p w14:paraId="318EA656">
            <w:pPr>
              <w:pStyle w:val="43"/>
              <w:rPr>
                <w:rFonts w:cs="宋体"/>
              </w:rPr>
            </w:pPr>
            <w:r>
              <w:rPr>
                <w:rFonts w:hint="eastAsia" w:cs="宋体"/>
              </w:rPr>
              <w:t>围标串标情形</w:t>
            </w:r>
          </w:p>
        </w:tc>
        <w:tc>
          <w:tcPr>
            <w:tcW w:w="3380" w:type="pct"/>
            <w:shd w:val="clear" w:color="auto" w:fill="auto"/>
            <w:vAlign w:val="center"/>
          </w:tcPr>
          <w:p w14:paraId="2319F748">
            <w:pPr>
              <w:pStyle w:val="43"/>
              <w:rPr>
                <w:rFonts w:cs="宋体"/>
              </w:rPr>
            </w:pPr>
            <w:r>
              <w:rPr>
                <w:rFonts w:hint="eastAsia" w:cs="宋体"/>
              </w:rPr>
              <w:t>供应商</w:t>
            </w:r>
            <w:r>
              <w:rPr>
                <w:rFonts w:hint="eastAsia" w:cs="宋体"/>
                <w:szCs w:val="21"/>
              </w:rPr>
              <w:t>不存在下列任一情形</w:t>
            </w:r>
            <w:r>
              <w:rPr>
                <w:rFonts w:hint="eastAsia" w:cs="宋体"/>
              </w:rPr>
              <w:t>：</w:t>
            </w:r>
          </w:p>
          <w:p w14:paraId="6352E170">
            <w:pPr>
              <w:pStyle w:val="43"/>
              <w:rPr>
                <w:rFonts w:cs="宋体"/>
              </w:rPr>
            </w:pPr>
            <w:r>
              <w:rPr>
                <w:rFonts w:hint="eastAsia" w:cs="宋体"/>
              </w:rPr>
              <w:t>（1）不同供应商的响应文件由同一单位或者个人编制；</w:t>
            </w:r>
          </w:p>
          <w:p w14:paraId="63A88461">
            <w:pPr>
              <w:pStyle w:val="43"/>
              <w:rPr>
                <w:rFonts w:cs="宋体"/>
              </w:rPr>
            </w:pPr>
            <w:r>
              <w:rPr>
                <w:rFonts w:hint="eastAsia" w:cs="宋体"/>
              </w:rPr>
              <w:t>（2）不同供应商委托同一单位或者个人办理磋商事宜；</w:t>
            </w:r>
          </w:p>
          <w:p w14:paraId="2A9C9992">
            <w:pPr>
              <w:pStyle w:val="43"/>
              <w:rPr>
                <w:rFonts w:cs="宋体"/>
              </w:rPr>
            </w:pPr>
            <w:r>
              <w:rPr>
                <w:rFonts w:hint="eastAsia" w:cs="宋体"/>
              </w:rPr>
              <w:t>（3）不同供应商的响应文件载明的项目管理成员或者联系人员为同一人；</w:t>
            </w:r>
          </w:p>
          <w:p w14:paraId="32C350EB">
            <w:pPr>
              <w:pStyle w:val="43"/>
              <w:rPr>
                <w:rFonts w:cs="宋体"/>
              </w:rPr>
            </w:pPr>
            <w:r>
              <w:rPr>
                <w:rFonts w:hint="eastAsia" w:cs="宋体"/>
              </w:rPr>
              <w:t>（4）不同供应商的响应文件异常一致或者报价呈规律性差异；</w:t>
            </w:r>
          </w:p>
          <w:p w14:paraId="3640C005">
            <w:pPr>
              <w:pStyle w:val="43"/>
              <w:rPr>
                <w:rFonts w:cs="宋体"/>
              </w:rPr>
            </w:pPr>
            <w:r>
              <w:rPr>
                <w:rFonts w:hint="eastAsia" w:cs="宋体"/>
              </w:rPr>
              <w:t>（5）不同供应商的响应文件相互混装；</w:t>
            </w:r>
          </w:p>
          <w:p w14:paraId="40B6C035">
            <w:pPr>
              <w:pStyle w:val="43"/>
              <w:rPr>
                <w:lang w:val="zh-CN"/>
              </w:rPr>
            </w:pPr>
            <w:r>
              <w:rPr>
                <w:rFonts w:hint="eastAsia" w:cs="宋体"/>
              </w:rPr>
              <w:t>（</w:t>
            </w:r>
            <w:r>
              <w:rPr>
                <w:rFonts w:cs="宋体"/>
              </w:rPr>
              <w:t>6</w:t>
            </w:r>
            <w:r>
              <w:rPr>
                <w:rFonts w:hint="eastAsia" w:cs="宋体"/>
              </w:rPr>
              <w:t>）</w:t>
            </w:r>
            <w:r>
              <w:rPr>
                <w:rFonts w:hint="eastAsia"/>
                <w:lang w:val="zh-CN"/>
              </w:rPr>
              <w:t>不同供应商使用同一电脑（机器特征值一致：如MAC地址等）或使用同一电子密钥，编制或上传电子响应文件。</w:t>
            </w:r>
          </w:p>
        </w:tc>
      </w:tr>
      <w:tr w14:paraId="2A48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50B419D6">
            <w:pPr>
              <w:pStyle w:val="43"/>
              <w:numPr>
                <w:ilvl w:val="0"/>
                <w:numId w:val="20"/>
              </w:numPr>
              <w:ind w:left="420" w:leftChars="0" w:hanging="420" w:firstLineChars="0"/>
              <w:jc w:val="center"/>
              <w:rPr>
                <w:sz w:val="20"/>
                <w:lang w:val="zh-CN"/>
              </w:rPr>
            </w:pPr>
          </w:p>
        </w:tc>
        <w:tc>
          <w:tcPr>
            <w:tcW w:w="1141" w:type="pct"/>
            <w:vAlign w:val="center"/>
          </w:tcPr>
          <w:p w14:paraId="75573F11">
            <w:pPr>
              <w:pStyle w:val="43"/>
              <w:rPr>
                <w:lang w:val="zh-CN"/>
              </w:rPr>
            </w:pPr>
            <w:r>
              <w:rPr>
                <w:lang w:val="zh-CN"/>
              </w:rPr>
              <w:t>其他</w:t>
            </w:r>
            <w:r>
              <w:rPr>
                <w:rFonts w:hint="eastAsia"/>
                <w:lang w:val="zh-CN"/>
              </w:rPr>
              <w:t>无效情形</w:t>
            </w:r>
          </w:p>
        </w:tc>
        <w:tc>
          <w:tcPr>
            <w:tcW w:w="3380" w:type="pct"/>
            <w:shd w:val="clear" w:color="auto" w:fill="auto"/>
            <w:vAlign w:val="center"/>
          </w:tcPr>
          <w:p w14:paraId="714EB308">
            <w:pPr>
              <w:pStyle w:val="43"/>
              <w:rPr>
                <w:lang w:val="zh-CN"/>
              </w:rPr>
            </w:pPr>
            <w:r>
              <w:rPr>
                <w:rFonts w:hint="eastAsia"/>
                <w:lang w:val="zh-CN"/>
              </w:rPr>
              <w:t>不存在法律、法规和磋商文件规定的其他无效磋商情形。</w:t>
            </w:r>
          </w:p>
        </w:tc>
      </w:tr>
    </w:tbl>
    <w:p w14:paraId="49B26E48">
      <w:pPr>
        <w:pStyle w:val="4"/>
        <w:numPr>
          <w:ilvl w:val="0"/>
          <w:numId w:val="17"/>
        </w:numPr>
      </w:pPr>
      <w:bookmarkStart w:id="534" w:name="_Toc9177"/>
      <w:bookmarkStart w:id="535" w:name="_Toc1960"/>
      <w:bookmarkStart w:id="536" w:name="_Toc163493640"/>
      <w:r>
        <w:rPr>
          <w:rFonts w:hint="eastAsia"/>
        </w:rPr>
        <w:t>评分标准</w:t>
      </w:r>
      <w:bookmarkEnd w:id="534"/>
      <w:bookmarkEnd w:id="535"/>
      <w:bookmarkEnd w:id="536"/>
    </w:p>
    <w:p w14:paraId="0E78DEC6"/>
    <w:tbl>
      <w:tblPr>
        <w:tblStyle w:val="26"/>
        <w:tblW w:w="47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85"/>
        <w:gridCol w:w="1101"/>
        <w:gridCol w:w="813"/>
        <w:gridCol w:w="4576"/>
      </w:tblGrid>
      <w:tr w14:paraId="630F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0" w:type="pct"/>
            <w:shd w:val="clear" w:color="auto" w:fill="D8D8D8" w:themeFill="background1" w:themeFillShade="D9"/>
            <w:vAlign w:val="center"/>
          </w:tcPr>
          <w:p w14:paraId="2A391E37">
            <w:pPr>
              <w:pStyle w:val="43"/>
              <w:jc w:val="center"/>
              <w:rPr>
                <w:b/>
                <w:bCs/>
              </w:rPr>
            </w:pPr>
            <w:r>
              <w:rPr>
                <w:rFonts w:hint="eastAsia"/>
                <w:b/>
                <w:bCs/>
              </w:rPr>
              <w:t>评审项目</w:t>
            </w:r>
          </w:p>
        </w:tc>
        <w:tc>
          <w:tcPr>
            <w:tcW w:w="807" w:type="pct"/>
            <w:shd w:val="clear" w:color="auto" w:fill="D8D8D8" w:themeFill="background1" w:themeFillShade="D9"/>
            <w:vAlign w:val="center"/>
          </w:tcPr>
          <w:p w14:paraId="4500BBC8">
            <w:pPr>
              <w:pStyle w:val="43"/>
              <w:jc w:val="center"/>
              <w:rPr>
                <w:rFonts w:hint="default" w:eastAsia="宋体"/>
                <w:b/>
                <w:bCs/>
                <w:lang w:val="en-US" w:eastAsia="zh-CN"/>
              </w:rPr>
            </w:pPr>
            <w:r>
              <w:rPr>
                <w:rFonts w:hint="eastAsia"/>
                <w:b/>
                <w:bCs/>
                <w:lang w:val="en-US" w:eastAsia="zh-CN"/>
              </w:rPr>
              <w:t>评审因素</w:t>
            </w:r>
          </w:p>
        </w:tc>
        <w:tc>
          <w:tcPr>
            <w:tcW w:w="641" w:type="pct"/>
            <w:shd w:val="clear" w:color="auto" w:fill="D8D8D8" w:themeFill="background1" w:themeFillShade="D9"/>
            <w:vAlign w:val="center"/>
          </w:tcPr>
          <w:p w14:paraId="13A09650">
            <w:pPr>
              <w:pStyle w:val="43"/>
              <w:jc w:val="center"/>
              <w:rPr>
                <w:rFonts w:hint="default" w:eastAsia="宋体"/>
                <w:b/>
                <w:bCs/>
                <w:lang w:val="en-US" w:eastAsia="zh-CN"/>
              </w:rPr>
            </w:pPr>
            <w:r>
              <w:rPr>
                <w:rFonts w:hint="eastAsia"/>
                <w:b/>
                <w:bCs/>
                <w:lang w:val="en-US" w:eastAsia="zh-CN"/>
              </w:rPr>
              <w:t>客观分/主观分</w:t>
            </w:r>
          </w:p>
        </w:tc>
        <w:tc>
          <w:tcPr>
            <w:tcW w:w="473" w:type="pct"/>
            <w:shd w:val="clear" w:color="auto" w:fill="D8D8D8" w:themeFill="background1" w:themeFillShade="D9"/>
            <w:vAlign w:val="center"/>
          </w:tcPr>
          <w:p w14:paraId="66ED14E2">
            <w:pPr>
              <w:pStyle w:val="43"/>
              <w:jc w:val="center"/>
              <w:rPr>
                <w:b/>
                <w:bCs/>
              </w:rPr>
            </w:pPr>
            <w:r>
              <w:rPr>
                <w:rFonts w:hint="eastAsia"/>
                <w:b/>
                <w:bCs/>
              </w:rPr>
              <w:t>分值</w:t>
            </w:r>
          </w:p>
        </w:tc>
        <w:tc>
          <w:tcPr>
            <w:tcW w:w="2666" w:type="pct"/>
            <w:shd w:val="clear" w:color="auto" w:fill="D8D8D8" w:themeFill="background1" w:themeFillShade="D9"/>
            <w:vAlign w:val="center"/>
          </w:tcPr>
          <w:p w14:paraId="16A4B105">
            <w:pPr>
              <w:pStyle w:val="43"/>
              <w:jc w:val="center"/>
              <w:rPr>
                <w:b/>
                <w:bCs/>
              </w:rPr>
            </w:pPr>
            <w:r>
              <w:rPr>
                <w:rFonts w:hint="eastAsia"/>
                <w:b/>
                <w:bCs/>
              </w:rPr>
              <w:t>子项目及分值</w:t>
            </w:r>
          </w:p>
        </w:tc>
      </w:tr>
      <w:tr w14:paraId="699E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410" w:type="pct"/>
            <w:vAlign w:val="center"/>
          </w:tcPr>
          <w:p w14:paraId="7DFDEB4E">
            <w:pPr>
              <w:pStyle w:val="43"/>
            </w:pPr>
            <w:r>
              <w:rPr>
                <w:rFonts w:hint="eastAsia"/>
              </w:rPr>
              <w:t>价格部分（</w:t>
            </w:r>
            <w:r>
              <w:rPr>
                <w:rFonts w:hint="eastAsia"/>
                <w:lang w:val="en-US" w:eastAsia="zh-CN"/>
              </w:rPr>
              <w:t>30</w:t>
            </w:r>
            <w:r>
              <w:rPr>
                <w:rFonts w:hint="eastAsia"/>
              </w:rPr>
              <w:t>分）</w:t>
            </w:r>
          </w:p>
        </w:tc>
        <w:tc>
          <w:tcPr>
            <w:tcW w:w="807" w:type="pct"/>
            <w:vAlign w:val="center"/>
          </w:tcPr>
          <w:p w14:paraId="1D86BF9B">
            <w:pPr>
              <w:pStyle w:val="43"/>
              <w:jc w:val="center"/>
              <w:rPr>
                <w:rFonts w:hint="eastAsia" w:ascii="宋体" w:hAnsi="宋体" w:eastAsia="宋体" w:cstheme="minorBidi"/>
                <w:kern w:val="2"/>
                <w:sz w:val="21"/>
                <w:szCs w:val="22"/>
                <w:lang w:val="en-US" w:eastAsia="zh-CN" w:bidi="ar-SA"/>
              </w:rPr>
            </w:pPr>
            <w:r>
              <w:rPr>
                <w:rFonts w:hint="eastAsia" w:cstheme="minorBidi"/>
                <w:kern w:val="2"/>
                <w:sz w:val="21"/>
                <w:szCs w:val="22"/>
                <w:lang w:val="en-US" w:eastAsia="zh-CN" w:bidi="ar-SA"/>
              </w:rPr>
              <w:t>磋商</w:t>
            </w:r>
            <w:r>
              <w:rPr>
                <w:rFonts w:hint="eastAsia" w:ascii="宋体" w:hAnsi="宋体" w:eastAsia="宋体" w:cstheme="minorBidi"/>
                <w:kern w:val="2"/>
                <w:sz w:val="21"/>
                <w:szCs w:val="22"/>
                <w:lang w:val="en-US" w:eastAsia="zh-CN" w:bidi="ar-SA"/>
              </w:rPr>
              <w:t>报价</w:t>
            </w:r>
          </w:p>
        </w:tc>
        <w:tc>
          <w:tcPr>
            <w:tcW w:w="641" w:type="pct"/>
            <w:vAlign w:val="center"/>
          </w:tcPr>
          <w:p w14:paraId="392F1D47">
            <w:pPr>
              <w:pStyle w:val="43"/>
              <w:jc w:val="center"/>
              <w:rPr>
                <w:rFonts w:hint="default"/>
                <w:lang w:val="en-US" w:eastAsia="zh-CN"/>
              </w:rPr>
            </w:pPr>
            <w:r>
              <w:rPr>
                <w:rFonts w:hint="eastAsia"/>
                <w:lang w:val="en-US" w:eastAsia="zh-CN"/>
              </w:rPr>
              <w:t>客观分</w:t>
            </w:r>
          </w:p>
        </w:tc>
        <w:tc>
          <w:tcPr>
            <w:tcW w:w="473" w:type="pct"/>
            <w:vAlign w:val="center"/>
          </w:tcPr>
          <w:p w14:paraId="02AE6289">
            <w:pPr>
              <w:pStyle w:val="43"/>
              <w:jc w:val="center"/>
              <w:rPr>
                <w:rFonts w:hint="default" w:eastAsia="宋体"/>
                <w:lang w:val="en-US" w:eastAsia="zh-CN"/>
              </w:rPr>
            </w:pPr>
            <w:r>
              <w:rPr>
                <w:rFonts w:hint="eastAsia"/>
                <w:lang w:val="en-US" w:eastAsia="zh-CN"/>
              </w:rPr>
              <w:t>30</w:t>
            </w:r>
          </w:p>
        </w:tc>
        <w:tc>
          <w:tcPr>
            <w:tcW w:w="2666" w:type="pct"/>
            <w:vAlign w:val="center"/>
          </w:tcPr>
          <w:p w14:paraId="5FDE2493">
            <w:pPr>
              <w:pStyle w:val="43"/>
            </w:pPr>
            <w:r>
              <w:rPr>
                <w:rFonts w:hint="eastAsia"/>
              </w:rPr>
              <w:t>磋商小组只对资格性及符合性审查合格的响应文件进行价格评议，报价分采用低价优先法计算，即满足磋商文件要求且最后报价</w:t>
            </w:r>
            <w:r>
              <w:rPr>
                <w:rFonts w:hint="eastAsia"/>
                <w:b/>
                <w:bCs/>
              </w:rPr>
              <w:t>（落实政府采购政策进行价格调整的，以调整后的价格计算）</w:t>
            </w:r>
            <w:r>
              <w:rPr>
                <w:rFonts w:hint="eastAsia"/>
              </w:rPr>
              <w:t>最低的为磋商基准价，其价格分为满分。其他的价格分按照下列公式计算：报价得分=(磋商基准价／最后报价)×</w:t>
            </w:r>
            <w:r>
              <w:rPr>
                <w:rFonts w:hint="eastAsia"/>
                <w:lang w:val="en-US" w:eastAsia="zh-CN"/>
              </w:rPr>
              <w:t>10</w:t>
            </w:r>
            <w:r>
              <w:rPr>
                <w:rFonts w:hint="eastAsia"/>
              </w:rPr>
              <w:t>分</w:t>
            </w:r>
          </w:p>
        </w:tc>
      </w:tr>
      <w:tr w14:paraId="7B38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410" w:type="pct"/>
            <w:vMerge w:val="restart"/>
            <w:vAlign w:val="center"/>
          </w:tcPr>
          <w:p w14:paraId="75A85A8A">
            <w:pPr>
              <w:pStyle w:val="43"/>
            </w:pPr>
            <w:r>
              <w:rPr>
                <w:rFonts w:hint="eastAsia"/>
              </w:rPr>
              <w:t>商务部分（</w:t>
            </w:r>
            <w:r>
              <w:rPr>
                <w:rFonts w:hint="eastAsia"/>
                <w:lang w:val="en-US" w:eastAsia="zh-CN"/>
              </w:rPr>
              <w:t>10</w:t>
            </w:r>
            <w:r>
              <w:rPr>
                <w:rFonts w:hint="eastAsia"/>
              </w:rPr>
              <w:t>分）</w:t>
            </w:r>
          </w:p>
        </w:tc>
        <w:tc>
          <w:tcPr>
            <w:tcW w:w="807" w:type="pct"/>
            <w:vAlign w:val="center"/>
          </w:tcPr>
          <w:p w14:paraId="73D2CD85">
            <w:pPr>
              <w:spacing w:line="240" w:lineRule="auto"/>
              <w:ind w:left="0" w:leftChars="0" w:right="-89" w:rightChars="-37" w:firstLine="0" w:firstLineChars="0"/>
              <w:jc w:val="center"/>
              <w:rPr>
                <w:rFonts w:hint="eastAsia" w:ascii="宋体" w:hAnsi="宋体" w:eastAsia="宋体" w:cstheme="minorBidi"/>
                <w:kern w:val="2"/>
                <w:sz w:val="21"/>
                <w:szCs w:val="22"/>
                <w:lang w:val="en-US" w:eastAsia="zh-CN" w:bidi="ar-SA"/>
              </w:rPr>
            </w:pPr>
            <w:r>
              <w:rPr>
                <w:rFonts w:hint="eastAsia" w:cs="宋体"/>
                <w:kern w:val="0"/>
                <w:sz w:val="21"/>
                <w:szCs w:val="18"/>
                <w:lang w:val="en-US" w:eastAsia="zh-CN"/>
              </w:rPr>
              <w:t>类似项目</w:t>
            </w:r>
            <w:r>
              <w:rPr>
                <w:rFonts w:hint="eastAsia" w:cs="宋体"/>
                <w:kern w:val="0"/>
                <w:sz w:val="21"/>
                <w:szCs w:val="18"/>
                <w:lang w:val="zh-CN" w:eastAsia="zh-CN"/>
              </w:rPr>
              <w:t>业绩</w:t>
            </w:r>
          </w:p>
        </w:tc>
        <w:tc>
          <w:tcPr>
            <w:tcW w:w="641" w:type="pct"/>
            <w:vAlign w:val="center"/>
          </w:tcPr>
          <w:p w14:paraId="344B82D0">
            <w:pPr>
              <w:pStyle w:val="43"/>
              <w:jc w:val="center"/>
              <w:rPr>
                <w:rFonts w:hint="eastAsia"/>
                <w:lang w:val="en-US" w:eastAsia="zh-CN"/>
              </w:rPr>
            </w:pPr>
            <w:r>
              <w:rPr>
                <w:rFonts w:hint="eastAsia"/>
                <w:lang w:val="en-US" w:eastAsia="zh-CN"/>
              </w:rPr>
              <w:t>客观分</w:t>
            </w:r>
          </w:p>
        </w:tc>
        <w:tc>
          <w:tcPr>
            <w:tcW w:w="473" w:type="pct"/>
            <w:vAlign w:val="center"/>
          </w:tcPr>
          <w:p w14:paraId="24130817">
            <w:pPr>
              <w:pStyle w:val="43"/>
              <w:jc w:val="center"/>
              <w:rPr>
                <w:rFonts w:hint="default" w:eastAsia="宋体"/>
                <w:lang w:val="en-US" w:eastAsia="zh-CN"/>
              </w:rPr>
            </w:pPr>
            <w:r>
              <w:rPr>
                <w:rFonts w:hint="eastAsia"/>
                <w:lang w:val="en-US" w:eastAsia="zh-CN"/>
              </w:rPr>
              <w:t>3</w:t>
            </w:r>
          </w:p>
        </w:tc>
        <w:tc>
          <w:tcPr>
            <w:tcW w:w="2666" w:type="pct"/>
            <w:vAlign w:val="center"/>
          </w:tcPr>
          <w:p w14:paraId="1CA47B84">
            <w:pPr>
              <w:pStyle w:val="43"/>
              <w:rPr>
                <w:color w:val="auto"/>
              </w:rPr>
            </w:pPr>
            <w:r>
              <w:rPr>
                <w:rFonts w:hint="eastAsia" w:cs="宋体"/>
                <w:color w:val="auto"/>
                <w:szCs w:val="21"/>
                <w:lang w:val="zh-CN"/>
              </w:rPr>
              <w:t>供应商近三年（投标截止时间前推36个月）来</w:t>
            </w:r>
            <w:r>
              <w:rPr>
                <w:rFonts w:hint="eastAsia" w:cs="宋体"/>
                <w:color w:val="auto"/>
                <w:szCs w:val="21"/>
              </w:rPr>
              <w:t>完成过</w:t>
            </w:r>
            <w:r>
              <w:rPr>
                <w:rFonts w:hint="eastAsia" w:cs="宋体"/>
                <w:color w:val="auto"/>
                <w:szCs w:val="21"/>
                <w:lang w:val="zh-CN"/>
              </w:rPr>
              <w:t>类似</w:t>
            </w:r>
            <w:r>
              <w:rPr>
                <w:rFonts w:hint="eastAsia" w:cs="宋体"/>
                <w:color w:val="auto"/>
                <w:szCs w:val="21"/>
              </w:rPr>
              <w:t>项</w:t>
            </w:r>
            <w:r>
              <w:rPr>
                <w:rFonts w:hint="eastAsia" w:cs="宋体"/>
                <w:color w:val="auto"/>
                <w:szCs w:val="21"/>
                <w:lang w:val="zh-CN"/>
              </w:rPr>
              <w:t>目业绩的，每提供一个得</w:t>
            </w:r>
            <w:r>
              <w:rPr>
                <w:rFonts w:hint="eastAsia" w:cs="宋体"/>
                <w:color w:val="auto"/>
                <w:szCs w:val="21"/>
                <w:lang w:val="en-US" w:eastAsia="zh-CN"/>
              </w:rPr>
              <w:t>1</w:t>
            </w:r>
            <w:r>
              <w:rPr>
                <w:rFonts w:hint="eastAsia" w:cs="宋体"/>
                <w:color w:val="auto"/>
                <w:szCs w:val="21"/>
                <w:lang w:val="zh-CN"/>
              </w:rPr>
              <w:t>分，最多得</w:t>
            </w:r>
            <w:r>
              <w:rPr>
                <w:rFonts w:hint="eastAsia" w:cs="宋体"/>
                <w:color w:val="auto"/>
                <w:szCs w:val="21"/>
                <w:lang w:val="en-US" w:eastAsia="zh-CN"/>
              </w:rPr>
              <w:t>3</w:t>
            </w:r>
            <w:r>
              <w:rPr>
                <w:rFonts w:hint="eastAsia" w:cs="宋体"/>
                <w:color w:val="auto"/>
                <w:szCs w:val="21"/>
                <w:lang w:val="zh-CN"/>
              </w:rPr>
              <w:t>分（</w:t>
            </w:r>
            <w:r>
              <w:rPr>
                <w:rFonts w:hint="eastAsia" w:cs="宋体"/>
                <w:color w:val="auto"/>
                <w:szCs w:val="21"/>
              </w:rPr>
              <w:t>须同时</w:t>
            </w:r>
            <w:r>
              <w:rPr>
                <w:rFonts w:hint="eastAsia" w:cs="宋体"/>
                <w:color w:val="auto"/>
                <w:szCs w:val="21"/>
                <w:lang w:val="zh-CN"/>
              </w:rPr>
              <w:t>提供</w:t>
            </w:r>
            <w:r>
              <w:rPr>
                <w:rFonts w:hint="eastAsia" w:cs="宋体"/>
                <w:color w:val="auto"/>
                <w:szCs w:val="21"/>
              </w:rPr>
              <w:t>中标通知书、</w:t>
            </w:r>
            <w:r>
              <w:rPr>
                <w:rFonts w:hint="eastAsia" w:cs="宋体"/>
                <w:color w:val="auto"/>
                <w:szCs w:val="21"/>
                <w:lang w:val="zh-CN"/>
              </w:rPr>
              <w:t>合同复印件并加盖</w:t>
            </w:r>
            <w:r>
              <w:rPr>
                <w:rFonts w:hint="eastAsia" w:cs="宋体"/>
                <w:color w:val="auto"/>
                <w:szCs w:val="21"/>
              </w:rPr>
              <w:t>供应商</w:t>
            </w:r>
            <w:r>
              <w:rPr>
                <w:rFonts w:hint="eastAsia" w:cs="宋体"/>
                <w:color w:val="auto"/>
                <w:szCs w:val="21"/>
                <w:lang w:val="zh-CN"/>
              </w:rPr>
              <w:t>公章，</w:t>
            </w:r>
            <w:r>
              <w:rPr>
                <w:rFonts w:hint="eastAsia" w:cs="宋体"/>
                <w:color w:val="auto"/>
                <w:szCs w:val="21"/>
              </w:rPr>
              <w:t>否则不得分）</w:t>
            </w:r>
          </w:p>
        </w:tc>
      </w:tr>
      <w:tr w14:paraId="3B9D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Merge w:val="continue"/>
            <w:vAlign w:val="center"/>
          </w:tcPr>
          <w:p w14:paraId="140E96AE">
            <w:pPr>
              <w:pStyle w:val="43"/>
            </w:pPr>
          </w:p>
        </w:tc>
        <w:tc>
          <w:tcPr>
            <w:tcW w:w="807" w:type="pct"/>
            <w:vAlign w:val="center"/>
          </w:tcPr>
          <w:p w14:paraId="4E99033F">
            <w:pPr>
              <w:spacing w:line="240" w:lineRule="auto"/>
              <w:ind w:left="0" w:leftChars="0" w:right="-89" w:rightChars="-37" w:firstLine="0" w:firstLineChars="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供应商综合实力</w:t>
            </w:r>
          </w:p>
        </w:tc>
        <w:tc>
          <w:tcPr>
            <w:tcW w:w="641" w:type="pct"/>
            <w:vAlign w:val="center"/>
          </w:tcPr>
          <w:p w14:paraId="5B8129B5">
            <w:pPr>
              <w:pStyle w:val="43"/>
              <w:jc w:val="center"/>
              <w:rPr>
                <w:rFonts w:hint="eastAsia"/>
                <w:lang w:val="en-US" w:eastAsia="zh-CN"/>
              </w:rPr>
            </w:pPr>
            <w:r>
              <w:rPr>
                <w:rFonts w:hint="eastAsia"/>
                <w:lang w:val="en-US" w:eastAsia="zh-CN"/>
              </w:rPr>
              <w:t>客观分</w:t>
            </w:r>
          </w:p>
        </w:tc>
        <w:tc>
          <w:tcPr>
            <w:tcW w:w="473" w:type="pct"/>
            <w:vAlign w:val="center"/>
          </w:tcPr>
          <w:p w14:paraId="35699D53">
            <w:pPr>
              <w:pStyle w:val="43"/>
              <w:jc w:val="center"/>
              <w:rPr>
                <w:rFonts w:hint="eastAsia" w:eastAsia="宋体"/>
                <w:lang w:val="en-US" w:eastAsia="zh-CN"/>
              </w:rPr>
            </w:pPr>
            <w:r>
              <w:rPr>
                <w:rFonts w:hint="eastAsia"/>
                <w:lang w:val="en-US" w:eastAsia="zh-CN"/>
              </w:rPr>
              <w:t>3</w:t>
            </w:r>
          </w:p>
        </w:tc>
        <w:tc>
          <w:tcPr>
            <w:tcW w:w="2666" w:type="pct"/>
            <w:vAlign w:val="center"/>
          </w:tcPr>
          <w:p w14:paraId="6AE2EEE1">
            <w:pPr>
              <w:pStyle w:val="43"/>
              <w:rPr>
                <w:rFonts w:hint="eastAsia" w:cs="宋体"/>
                <w:szCs w:val="21"/>
              </w:rPr>
            </w:pPr>
            <w:r>
              <w:rPr>
                <w:rFonts w:hint="eastAsia" w:cs="宋体"/>
                <w:szCs w:val="21"/>
              </w:rPr>
              <w:t>具有有效的ISO9001（或GB/T19001）质量管理体系认证证书，1分；</w:t>
            </w:r>
          </w:p>
          <w:p w14:paraId="041CF1C9">
            <w:pPr>
              <w:pStyle w:val="43"/>
              <w:rPr>
                <w:rFonts w:hint="eastAsia" w:cs="宋体"/>
                <w:szCs w:val="21"/>
              </w:rPr>
            </w:pPr>
            <w:r>
              <w:rPr>
                <w:rFonts w:hint="eastAsia" w:cs="宋体"/>
                <w:szCs w:val="21"/>
              </w:rPr>
              <w:t>具有有效的ISO14001(或GB/T24001) 环境管理体系认证证书，1分；</w:t>
            </w:r>
          </w:p>
          <w:p w14:paraId="3B61D037">
            <w:pPr>
              <w:pStyle w:val="43"/>
              <w:rPr>
                <w:rFonts w:hint="eastAsia" w:cs="宋体"/>
                <w:szCs w:val="21"/>
              </w:rPr>
            </w:pPr>
            <w:r>
              <w:rPr>
                <w:rFonts w:hint="eastAsia" w:cs="宋体"/>
                <w:szCs w:val="21"/>
              </w:rPr>
              <w:t>具有有效的ISO45001或 OHSAS18001(或GB/T45001) 职业健康安全管理体系认证证书，1分。</w:t>
            </w:r>
          </w:p>
          <w:p w14:paraId="54920167">
            <w:pPr>
              <w:pStyle w:val="43"/>
            </w:pPr>
            <w:r>
              <w:rPr>
                <w:rFonts w:hint="eastAsia" w:cs="宋体"/>
                <w:szCs w:val="21"/>
              </w:rPr>
              <w:t>（要求提供认证证书复印件及提供以上证书在中国认证认可监督管理委员会官方网站平台www.cnca.gov.cn查询的页面网址打印件，并加盖供应商公章，否则不得分）</w:t>
            </w:r>
          </w:p>
        </w:tc>
      </w:tr>
      <w:tr w14:paraId="2A4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Merge w:val="continue"/>
            <w:vAlign w:val="center"/>
          </w:tcPr>
          <w:p w14:paraId="47453C75">
            <w:pPr>
              <w:pStyle w:val="43"/>
            </w:pPr>
          </w:p>
        </w:tc>
        <w:tc>
          <w:tcPr>
            <w:tcW w:w="807" w:type="pct"/>
            <w:vAlign w:val="center"/>
          </w:tcPr>
          <w:p w14:paraId="76C97E4E">
            <w:pPr>
              <w:pStyle w:val="43"/>
              <w:jc w:val="center"/>
              <w:rPr>
                <w:rFonts w:hint="default" w:eastAsia="宋体"/>
                <w:lang w:val="en-US" w:eastAsia="zh-CN"/>
              </w:rPr>
            </w:pPr>
            <w:r>
              <w:rPr>
                <w:rFonts w:hint="eastAsia"/>
                <w:lang w:val="en-US" w:eastAsia="zh-CN"/>
              </w:rPr>
              <w:t>项目团队</w:t>
            </w:r>
          </w:p>
        </w:tc>
        <w:tc>
          <w:tcPr>
            <w:tcW w:w="641" w:type="pct"/>
            <w:vAlign w:val="center"/>
          </w:tcPr>
          <w:p w14:paraId="77466028">
            <w:pPr>
              <w:pStyle w:val="43"/>
              <w:jc w:val="center"/>
              <w:rPr>
                <w:rFonts w:hint="eastAsia"/>
                <w:lang w:val="en-US" w:eastAsia="zh-CN"/>
              </w:rPr>
            </w:pPr>
            <w:r>
              <w:rPr>
                <w:rFonts w:hint="eastAsia"/>
                <w:lang w:val="en-US" w:eastAsia="zh-CN"/>
              </w:rPr>
              <w:t>客观分</w:t>
            </w:r>
          </w:p>
        </w:tc>
        <w:tc>
          <w:tcPr>
            <w:tcW w:w="473" w:type="pct"/>
            <w:vAlign w:val="center"/>
          </w:tcPr>
          <w:p w14:paraId="063DDC48">
            <w:pPr>
              <w:pStyle w:val="43"/>
              <w:jc w:val="center"/>
              <w:rPr>
                <w:rFonts w:hint="eastAsia" w:eastAsia="宋体"/>
                <w:lang w:val="en-US" w:eastAsia="zh-CN"/>
              </w:rPr>
            </w:pPr>
            <w:r>
              <w:rPr>
                <w:rFonts w:hint="eastAsia"/>
                <w:lang w:val="en-US" w:eastAsia="zh-CN"/>
              </w:rPr>
              <w:t>4</w:t>
            </w:r>
          </w:p>
        </w:tc>
        <w:tc>
          <w:tcPr>
            <w:tcW w:w="2666" w:type="pct"/>
            <w:vAlign w:val="center"/>
          </w:tcPr>
          <w:p w14:paraId="22A21B8A">
            <w:pPr>
              <w:spacing w:line="240" w:lineRule="auto"/>
              <w:ind w:left="0" w:leftChars="0" w:right="-89" w:rightChars="-37" w:firstLine="0" w:firstLineChars="0"/>
              <w:jc w:val="left"/>
              <w:rPr>
                <w:rFonts w:hint="eastAsia" w:ascii="宋体" w:hAnsi="宋体" w:eastAsia="宋体" w:cs="宋体"/>
                <w:kern w:val="2"/>
                <w:sz w:val="21"/>
                <w:szCs w:val="21"/>
                <w:lang w:val="zh-CN" w:eastAsia="zh-CN" w:bidi="ar-SA"/>
              </w:rPr>
            </w:pPr>
            <w:r>
              <w:rPr>
                <w:rFonts w:hint="eastAsia"/>
                <w:lang w:val="en-US" w:eastAsia="zh-CN"/>
              </w:rPr>
              <w:t>项目团队</w:t>
            </w:r>
            <w:r>
              <w:rPr>
                <w:rFonts w:hint="eastAsia" w:ascii="宋体" w:hAnsi="宋体" w:eastAsia="宋体" w:cs="宋体"/>
                <w:kern w:val="2"/>
                <w:sz w:val="21"/>
                <w:szCs w:val="21"/>
                <w:lang w:val="zh-CN" w:eastAsia="zh-CN" w:bidi="ar-SA"/>
              </w:rPr>
              <w:t>配备合理</w:t>
            </w:r>
            <w:r>
              <w:rPr>
                <w:rFonts w:hint="eastAsia" w:ascii="宋体" w:hAnsi="宋体" w:eastAsia="宋体" w:cs="宋体"/>
                <w:color w:val="auto"/>
                <w:kern w:val="2"/>
                <w:sz w:val="21"/>
                <w:szCs w:val="21"/>
                <w:lang w:val="zh-CN" w:eastAsia="zh-CN" w:bidi="ar-SA"/>
              </w:rPr>
              <w:t>， 有项目负责人、安全员得</w:t>
            </w:r>
            <w:r>
              <w:rPr>
                <w:rFonts w:hint="eastAsia" w:cs="宋体"/>
                <w:color w:val="auto"/>
                <w:kern w:val="2"/>
                <w:sz w:val="21"/>
                <w:szCs w:val="21"/>
                <w:lang w:val="en-US" w:eastAsia="zh-CN" w:bidi="ar-SA"/>
              </w:rPr>
              <w:t>4</w:t>
            </w:r>
            <w:r>
              <w:rPr>
                <w:rFonts w:hint="eastAsia" w:ascii="宋体" w:hAnsi="宋体" w:eastAsia="宋体" w:cs="宋体"/>
                <w:color w:val="auto"/>
                <w:kern w:val="2"/>
                <w:sz w:val="21"/>
                <w:szCs w:val="21"/>
                <w:lang w:val="zh-CN" w:eastAsia="zh-CN" w:bidi="ar-SA"/>
              </w:rPr>
              <w:t>分，人员配备不合</w:t>
            </w:r>
            <w:r>
              <w:rPr>
                <w:rFonts w:hint="eastAsia" w:ascii="宋体" w:hAnsi="宋体" w:eastAsia="宋体" w:cs="宋体"/>
                <w:kern w:val="2"/>
                <w:sz w:val="21"/>
                <w:szCs w:val="21"/>
                <w:lang w:val="zh-CN" w:eastAsia="zh-CN" w:bidi="ar-SA"/>
              </w:rPr>
              <w:t>理，缺任何一员得 0 分。</w:t>
            </w:r>
          </w:p>
          <w:p w14:paraId="348A7316">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CN" w:eastAsia="zh-CN" w:bidi="ar-SA"/>
              </w:rPr>
              <w:t>提供上述人员身份证、参加本项目前由本单位为其缴纳社保的凭证(以加盖社保部门公章为准)、有效期内的岗位培训证书。</w:t>
            </w:r>
          </w:p>
        </w:tc>
      </w:tr>
      <w:tr w14:paraId="22AC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Merge w:val="restart"/>
            <w:vAlign w:val="center"/>
          </w:tcPr>
          <w:p w14:paraId="5BD619DC">
            <w:pPr>
              <w:pStyle w:val="43"/>
            </w:pPr>
            <w:r>
              <w:rPr>
                <w:rFonts w:hint="eastAsia"/>
              </w:rPr>
              <w:t>技术部分（</w:t>
            </w:r>
            <w:r>
              <w:rPr>
                <w:rFonts w:hint="eastAsia"/>
                <w:lang w:val="en-US" w:eastAsia="zh-CN"/>
              </w:rPr>
              <w:t>60</w:t>
            </w:r>
            <w:r>
              <w:rPr>
                <w:rFonts w:hint="eastAsia"/>
              </w:rPr>
              <w:t>分）</w:t>
            </w:r>
          </w:p>
        </w:tc>
        <w:tc>
          <w:tcPr>
            <w:tcW w:w="807" w:type="pct"/>
            <w:vAlign w:val="center"/>
          </w:tcPr>
          <w:p w14:paraId="4BC7CC5B">
            <w:pPr>
              <w:spacing w:line="240" w:lineRule="auto"/>
              <w:ind w:left="0" w:leftChars="0" w:right="-89" w:rightChars="-37" w:firstLine="0" w:firstLineChars="0"/>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对项目的理解</w:t>
            </w:r>
          </w:p>
        </w:tc>
        <w:tc>
          <w:tcPr>
            <w:tcW w:w="641" w:type="pct"/>
            <w:vAlign w:val="center"/>
          </w:tcPr>
          <w:p w14:paraId="0F061CA7">
            <w:pPr>
              <w:tabs>
                <w:tab w:val="left" w:pos="351"/>
                <w:tab w:val="left" w:pos="816"/>
              </w:tabs>
              <w:ind w:left="0" w:leftChars="0" w:right="-89" w:rightChars="-37" w:firstLine="0" w:firstLineChars="0"/>
              <w:jc w:val="center"/>
              <w:rPr>
                <w:rFonts w:hint="default" w:cs="仿宋_GB2312"/>
                <w:color w:val="000000"/>
                <w:lang w:val="en-US" w:eastAsia="zh-CN"/>
              </w:rPr>
            </w:pPr>
            <w:r>
              <w:rPr>
                <w:rFonts w:hint="eastAsia" w:cs="仿宋_GB2312"/>
                <w:color w:val="000000"/>
                <w:lang w:val="en-US" w:eastAsia="zh-CN"/>
              </w:rPr>
              <w:t>主观分</w:t>
            </w:r>
          </w:p>
        </w:tc>
        <w:tc>
          <w:tcPr>
            <w:tcW w:w="473" w:type="pct"/>
            <w:vAlign w:val="center"/>
          </w:tcPr>
          <w:p w14:paraId="31708485">
            <w:pPr>
              <w:tabs>
                <w:tab w:val="left" w:pos="351"/>
                <w:tab w:val="left" w:pos="816"/>
              </w:tabs>
              <w:ind w:left="0" w:leftChars="0" w:right="-89" w:rightChars="-37" w:firstLine="0" w:firstLineChars="0"/>
              <w:jc w:val="center"/>
              <w:rPr>
                <w:rFonts w:hint="default" w:ascii="宋体" w:hAnsi="宋体" w:eastAsia="宋体" w:cs="仿宋_GB2312"/>
                <w:color w:val="000000"/>
                <w:kern w:val="2"/>
                <w:sz w:val="24"/>
                <w:szCs w:val="22"/>
                <w:lang w:val="en-US" w:eastAsia="zh-CN" w:bidi="ar-SA"/>
              </w:rPr>
            </w:pPr>
            <w:r>
              <w:rPr>
                <w:rFonts w:hint="eastAsia" w:cs="仿宋_GB2312"/>
                <w:color w:val="000000"/>
                <w:kern w:val="2"/>
                <w:sz w:val="24"/>
                <w:szCs w:val="22"/>
                <w:lang w:val="en-US" w:eastAsia="zh-CN" w:bidi="ar-SA"/>
              </w:rPr>
              <w:t>12</w:t>
            </w:r>
          </w:p>
        </w:tc>
        <w:tc>
          <w:tcPr>
            <w:tcW w:w="2666" w:type="pct"/>
            <w:vAlign w:val="center"/>
          </w:tcPr>
          <w:p w14:paraId="3F6C999A">
            <w:pPr>
              <w:spacing w:line="240" w:lineRule="auto"/>
              <w:ind w:left="0" w:leftChars="0" w:right="-89" w:rightChars="-37" w:firstLine="0" w:firstLineChars="0"/>
              <w:jc w:val="left"/>
              <w:rPr>
                <w:rFonts w:hint="eastAsia" w:cs="宋体"/>
                <w:kern w:val="2"/>
                <w:sz w:val="21"/>
                <w:szCs w:val="21"/>
                <w:lang w:val="en-US" w:eastAsia="zh-CN" w:bidi="ar-SA"/>
              </w:rPr>
            </w:pPr>
            <w:r>
              <w:rPr>
                <w:rFonts w:hint="eastAsia" w:cs="宋体"/>
                <w:kern w:val="2"/>
                <w:sz w:val="21"/>
                <w:szCs w:val="21"/>
                <w:lang w:val="en-US" w:eastAsia="zh-CN" w:bidi="ar-SA"/>
              </w:rPr>
              <w:t>评审内容：</w:t>
            </w:r>
          </w:p>
          <w:p w14:paraId="22FFA2B9">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供应商根据采购文件要求提供对项目的理解，包括但不限于：</w:t>
            </w:r>
          </w:p>
          <w:p w14:paraId="00921491">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（1）对本项目的理解；</w:t>
            </w:r>
          </w:p>
          <w:p w14:paraId="62CE41C7">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（2）技术工作思路；</w:t>
            </w:r>
          </w:p>
          <w:p w14:paraId="6DD3BDFA">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评审考核重点：</w:t>
            </w:r>
          </w:p>
          <w:p w14:paraId="5024505F">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（1）合理性：方案必须完整，设想合理、恰当；（2）针对性：方案能够切合本项目实际情况，能够满足后期使用需求。</w:t>
            </w:r>
          </w:p>
          <w:p w14:paraId="1557B988">
            <w:pPr>
              <w:spacing w:line="240" w:lineRule="auto"/>
              <w:ind w:left="0" w:leftChars="0" w:right="-89" w:rightChars="-37" w:firstLine="0" w:firstLineChars="0"/>
              <w:jc w:val="left"/>
            </w:pPr>
            <w:r>
              <w:rPr>
                <w:rFonts w:hint="eastAsia" w:ascii="宋体" w:hAnsi="宋体" w:eastAsia="宋体" w:cs="宋体"/>
                <w:kern w:val="2"/>
                <w:sz w:val="21"/>
                <w:szCs w:val="21"/>
                <w:lang w:val="en-US" w:eastAsia="zh-CN" w:bidi="ar-SA"/>
              </w:rPr>
              <w:t>上述</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项评审内容，每项评审内容满足2个考核重点得</w:t>
            </w:r>
            <w:r>
              <w:rPr>
                <w:rFonts w:hint="eastAsia" w:cs="宋体"/>
                <w:kern w:val="2"/>
                <w:sz w:val="21"/>
                <w:szCs w:val="21"/>
                <w:lang w:val="en-US" w:eastAsia="zh-CN" w:bidi="ar-SA"/>
              </w:rPr>
              <w:t>6</w:t>
            </w:r>
            <w:r>
              <w:rPr>
                <w:rFonts w:hint="eastAsia" w:ascii="宋体" w:hAnsi="宋体" w:eastAsia="宋体" w:cs="宋体"/>
                <w:kern w:val="2"/>
                <w:sz w:val="21"/>
                <w:szCs w:val="21"/>
                <w:lang w:val="en-US" w:eastAsia="zh-CN" w:bidi="ar-SA"/>
              </w:rPr>
              <w:t>分，仅满足1个考核重点得</w:t>
            </w:r>
            <w:r>
              <w:rPr>
                <w:rFonts w:hint="eastAsia" w:cs="宋体"/>
                <w:kern w:val="2"/>
                <w:sz w:val="21"/>
                <w:szCs w:val="21"/>
                <w:lang w:val="en-US" w:eastAsia="zh-CN" w:bidi="ar-SA"/>
              </w:rPr>
              <w:t>3</w:t>
            </w:r>
            <w:r>
              <w:rPr>
                <w:rFonts w:hint="eastAsia" w:ascii="宋体" w:hAnsi="宋体" w:eastAsia="宋体" w:cs="宋体"/>
                <w:kern w:val="2"/>
                <w:sz w:val="21"/>
                <w:szCs w:val="21"/>
                <w:lang w:val="en-US" w:eastAsia="zh-CN" w:bidi="ar-SA"/>
              </w:rPr>
              <w:t>分，其他不得分。满分</w:t>
            </w:r>
            <w:r>
              <w:rPr>
                <w:rFonts w:hint="eastAsia" w:cs="宋体"/>
                <w:kern w:val="2"/>
                <w:sz w:val="21"/>
                <w:szCs w:val="21"/>
                <w:lang w:val="en-US" w:eastAsia="zh-CN" w:bidi="ar-SA"/>
              </w:rPr>
              <w:t>12</w:t>
            </w:r>
            <w:r>
              <w:rPr>
                <w:rFonts w:hint="eastAsia" w:ascii="宋体" w:hAnsi="宋体" w:eastAsia="宋体" w:cs="宋体"/>
                <w:kern w:val="2"/>
                <w:sz w:val="21"/>
                <w:szCs w:val="21"/>
                <w:lang w:val="en-US" w:eastAsia="zh-CN" w:bidi="ar-SA"/>
              </w:rPr>
              <w:t>分。</w:t>
            </w:r>
          </w:p>
        </w:tc>
      </w:tr>
      <w:tr w14:paraId="11EA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Merge w:val="continue"/>
            <w:vAlign w:val="center"/>
          </w:tcPr>
          <w:p w14:paraId="2A16968B">
            <w:pPr>
              <w:pStyle w:val="43"/>
              <w:rPr>
                <w:rFonts w:hint="eastAsia"/>
              </w:rPr>
            </w:pPr>
          </w:p>
        </w:tc>
        <w:tc>
          <w:tcPr>
            <w:tcW w:w="807" w:type="pct"/>
            <w:vAlign w:val="center"/>
          </w:tcPr>
          <w:p w14:paraId="52833218">
            <w:pPr>
              <w:spacing w:line="240" w:lineRule="auto"/>
              <w:ind w:left="0" w:leftChars="0" w:right="-89" w:rightChars="-37"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重难点把握及应对措施分析</w:t>
            </w:r>
          </w:p>
        </w:tc>
        <w:tc>
          <w:tcPr>
            <w:tcW w:w="641" w:type="pct"/>
            <w:vAlign w:val="center"/>
          </w:tcPr>
          <w:p w14:paraId="1E4A416D">
            <w:pPr>
              <w:tabs>
                <w:tab w:val="left" w:pos="351"/>
                <w:tab w:val="left" w:pos="816"/>
              </w:tabs>
              <w:ind w:left="0" w:leftChars="0" w:right="-89" w:rightChars="-37" w:firstLine="0" w:firstLineChars="0"/>
              <w:jc w:val="center"/>
              <w:rPr>
                <w:rFonts w:hint="eastAsia" w:cs="仿宋_GB2312"/>
                <w:color w:val="000000"/>
              </w:rPr>
            </w:pPr>
            <w:r>
              <w:rPr>
                <w:rFonts w:hint="eastAsia" w:cs="仿宋_GB2312"/>
                <w:color w:val="000000"/>
                <w:lang w:val="en-US" w:eastAsia="zh-CN"/>
              </w:rPr>
              <w:t>主观分</w:t>
            </w:r>
          </w:p>
        </w:tc>
        <w:tc>
          <w:tcPr>
            <w:tcW w:w="473" w:type="pct"/>
            <w:vAlign w:val="center"/>
          </w:tcPr>
          <w:p w14:paraId="5343268E">
            <w:pPr>
              <w:tabs>
                <w:tab w:val="left" w:pos="351"/>
                <w:tab w:val="left" w:pos="816"/>
              </w:tabs>
              <w:ind w:left="0" w:leftChars="0" w:right="-89" w:rightChars="-37" w:firstLine="0" w:firstLineChars="0"/>
              <w:jc w:val="center"/>
              <w:rPr>
                <w:rFonts w:hint="default" w:ascii="宋体" w:hAnsi="宋体" w:eastAsia="宋体" w:cs="仿宋_GB2312"/>
                <w:color w:val="000000"/>
                <w:kern w:val="2"/>
                <w:sz w:val="24"/>
                <w:szCs w:val="22"/>
                <w:lang w:val="en-US" w:eastAsia="zh-CN" w:bidi="ar-SA"/>
              </w:rPr>
            </w:pPr>
            <w:r>
              <w:rPr>
                <w:rFonts w:hint="eastAsia" w:cs="仿宋_GB2312"/>
                <w:color w:val="000000"/>
                <w:kern w:val="2"/>
                <w:sz w:val="24"/>
                <w:szCs w:val="22"/>
                <w:lang w:val="en-US" w:eastAsia="zh-CN" w:bidi="ar-SA"/>
              </w:rPr>
              <w:t>8</w:t>
            </w:r>
          </w:p>
        </w:tc>
        <w:tc>
          <w:tcPr>
            <w:tcW w:w="2666" w:type="pct"/>
            <w:vAlign w:val="center"/>
          </w:tcPr>
          <w:p w14:paraId="496B9340">
            <w:pPr>
              <w:spacing w:line="240" w:lineRule="auto"/>
              <w:ind w:left="0" w:leftChars="0" w:right="-89" w:rightChars="-37" w:firstLine="0" w:firstLineChars="0"/>
              <w:jc w:val="left"/>
              <w:rPr>
                <w:rFonts w:hint="eastAsia" w:cs="宋体"/>
                <w:kern w:val="2"/>
                <w:sz w:val="21"/>
                <w:szCs w:val="21"/>
                <w:lang w:val="en-US" w:eastAsia="zh-CN" w:bidi="ar-SA"/>
              </w:rPr>
            </w:pPr>
            <w:r>
              <w:rPr>
                <w:rFonts w:hint="eastAsia" w:cs="宋体"/>
                <w:kern w:val="2"/>
                <w:sz w:val="21"/>
                <w:szCs w:val="21"/>
                <w:lang w:val="en-US" w:eastAsia="zh-CN" w:bidi="ar-SA"/>
              </w:rPr>
              <w:t>评审内容：</w:t>
            </w:r>
          </w:p>
          <w:p w14:paraId="78949374">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供应商根据采购文件要求提供重难点把握及应对措施分析，包括但不限于：</w:t>
            </w:r>
          </w:p>
          <w:p w14:paraId="4F62304C">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（1）项目重点与难点分析；</w:t>
            </w:r>
          </w:p>
          <w:p w14:paraId="108D2DFC">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（2）重难点应对措施。</w:t>
            </w:r>
          </w:p>
          <w:p w14:paraId="1700055C">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评审考核重点：</w:t>
            </w:r>
          </w:p>
          <w:p w14:paraId="46C891C3">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（1）合理性：方案必须完整，设想合理、恰当；（2）科学可行性：方案必须切合本项目实际情况，根据磋商文件要求提出操作性强、便于实施的设想方案。</w:t>
            </w:r>
          </w:p>
          <w:p w14:paraId="581A4D90">
            <w:pPr>
              <w:spacing w:line="240" w:lineRule="auto"/>
              <w:ind w:left="0" w:leftChars="0" w:right="-89" w:rightChars="-37" w:firstLine="0" w:firstLineChars="0"/>
              <w:jc w:val="left"/>
            </w:pPr>
            <w:r>
              <w:rPr>
                <w:rFonts w:hint="eastAsia" w:ascii="宋体" w:hAnsi="宋体" w:eastAsia="宋体" w:cs="宋体"/>
                <w:kern w:val="2"/>
                <w:sz w:val="21"/>
                <w:szCs w:val="21"/>
                <w:lang w:val="en-US" w:eastAsia="zh-CN" w:bidi="ar-SA"/>
              </w:rPr>
              <w:t>上述 2 项评审内容，每项评审内容满足2个考核重点得</w:t>
            </w:r>
            <w:r>
              <w:rPr>
                <w:rFonts w:hint="eastAsia" w:cs="宋体"/>
                <w:kern w:val="2"/>
                <w:sz w:val="21"/>
                <w:szCs w:val="21"/>
                <w:lang w:val="en-US" w:eastAsia="zh-CN" w:bidi="ar-SA"/>
              </w:rPr>
              <w:t>4</w:t>
            </w:r>
            <w:r>
              <w:rPr>
                <w:rFonts w:hint="eastAsia" w:ascii="宋体" w:hAnsi="宋体" w:eastAsia="宋体" w:cs="宋体"/>
                <w:kern w:val="2"/>
                <w:sz w:val="21"/>
                <w:szCs w:val="21"/>
                <w:lang w:val="en-US" w:eastAsia="zh-CN" w:bidi="ar-SA"/>
              </w:rPr>
              <w:t>分，仅满足1个考核重点得</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分，其他不得分。满分</w:t>
            </w:r>
            <w:r>
              <w:rPr>
                <w:rFonts w:hint="eastAsia" w:cs="宋体"/>
                <w:kern w:val="2"/>
                <w:sz w:val="21"/>
                <w:szCs w:val="21"/>
                <w:lang w:val="en-US" w:eastAsia="zh-CN" w:bidi="ar-SA"/>
              </w:rPr>
              <w:t>8</w:t>
            </w:r>
            <w:r>
              <w:rPr>
                <w:rFonts w:hint="eastAsia" w:ascii="宋体" w:hAnsi="宋体" w:eastAsia="宋体" w:cs="宋体"/>
                <w:kern w:val="2"/>
                <w:sz w:val="21"/>
                <w:szCs w:val="21"/>
                <w:lang w:val="en-US" w:eastAsia="zh-CN" w:bidi="ar-SA"/>
              </w:rPr>
              <w:t>分。</w:t>
            </w:r>
          </w:p>
        </w:tc>
      </w:tr>
      <w:tr w14:paraId="67CC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Merge w:val="continue"/>
            <w:vAlign w:val="center"/>
          </w:tcPr>
          <w:p w14:paraId="5CD57362">
            <w:pPr>
              <w:pStyle w:val="43"/>
              <w:rPr>
                <w:rFonts w:hint="eastAsia"/>
              </w:rPr>
            </w:pPr>
          </w:p>
        </w:tc>
        <w:tc>
          <w:tcPr>
            <w:tcW w:w="807" w:type="pct"/>
            <w:vAlign w:val="center"/>
          </w:tcPr>
          <w:p w14:paraId="012DF155">
            <w:pPr>
              <w:spacing w:line="240" w:lineRule="auto"/>
              <w:ind w:left="0" w:leftChars="0" w:right="-89" w:rightChars="-37"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实施方案</w:t>
            </w:r>
          </w:p>
        </w:tc>
        <w:tc>
          <w:tcPr>
            <w:tcW w:w="641" w:type="pct"/>
            <w:vAlign w:val="center"/>
          </w:tcPr>
          <w:p w14:paraId="2C43E1D6">
            <w:pPr>
              <w:tabs>
                <w:tab w:val="left" w:pos="351"/>
                <w:tab w:val="left" w:pos="816"/>
              </w:tabs>
              <w:ind w:left="0" w:leftChars="0" w:right="-89" w:rightChars="-37" w:firstLine="0" w:firstLineChars="0"/>
              <w:jc w:val="center"/>
              <w:rPr>
                <w:rFonts w:hint="eastAsia" w:cs="仿宋_GB2312"/>
                <w:color w:val="000000"/>
                <w:lang w:val="en-US" w:eastAsia="zh-CN"/>
              </w:rPr>
            </w:pPr>
            <w:r>
              <w:rPr>
                <w:rFonts w:hint="eastAsia" w:cs="仿宋_GB2312"/>
                <w:color w:val="000000"/>
                <w:lang w:val="en-US" w:eastAsia="zh-CN"/>
              </w:rPr>
              <w:t>主观分</w:t>
            </w:r>
          </w:p>
        </w:tc>
        <w:tc>
          <w:tcPr>
            <w:tcW w:w="473" w:type="pct"/>
            <w:vAlign w:val="center"/>
          </w:tcPr>
          <w:p w14:paraId="3B59AFC8">
            <w:pPr>
              <w:tabs>
                <w:tab w:val="left" w:pos="351"/>
                <w:tab w:val="left" w:pos="816"/>
              </w:tabs>
              <w:ind w:left="0" w:leftChars="0" w:right="-89" w:rightChars="-37" w:firstLine="0" w:firstLineChars="0"/>
              <w:jc w:val="center"/>
              <w:rPr>
                <w:rFonts w:hint="default" w:ascii="宋体" w:hAnsi="宋体" w:eastAsia="宋体" w:cs="仿宋_GB2312"/>
                <w:color w:val="000000"/>
                <w:kern w:val="2"/>
                <w:sz w:val="24"/>
                <w:szCs w:val="22"/>
                <w:lang w:val="en-US" w:eastAsia="zh-CN" w:bidi="ar-SA"/>
              </w:rPr>
            </w:pPr>
            <w:r>
              <w:rPr>
                <w:rFonts w:hint="eastAsia" w:cs="仿宋_GB2312"/>
                <w:color w:val="000000"/>
                <w:kern w:val="2"/>
                <w:sz w:val="24"/>
                <w:szCs w:val="22"/>
                <w:lang w:val="en-US" w:eastAsia="zh-CN" w:bidi="ar-SA"/>
              </w:rPr>
              <w:t>12</w:t>
            </w:r>
          </w:p>
        </w:tc>
        <w:tc>
          <w:tcPr>
            <w:tcW w:w="2666" w:type="pct"/>
            <w:vAlign w:val="center"/>
          </w:tcPr>
          <w:p w14:paraId="23FA141B">
            <w:pPr>
              <w:spacing w:line="240" w:lineRule="auto"/>
              <w:ind w:left="0" w:leftChars="0" w:right="-89" w:rightChars="-37" w:firstLine="0" w:firstLineChars="0"/>
              <w:jc w:val="left"/>
              <w:rPr>
                <w:rFonts w:hint="eastAsia" w:cs="宋体"/>
                <w:kern w:val="2"/>
                <w:sz w:val="21"/>
                <w:szCs w:val="21"/>
                <w:lang w:val="en-US" w:eastAsia="zh-CN" w:bidi="ar-SA"/>
              </w:rPr>
            </w:pPr>
            <w:r>
              <w:rPr>
                <w:rFonts w:hint="eastAsia" w:cs="宋体"/>
                <w:kern w:val="2"/>
                <w:sz w:val="21"/>
                <w:szCs w:val="21"/>
                <w:lang w:val="en-US" w:eastAsia="zh-CN" w:bidi="ar-SA"/>
              </w:rPr>
              <w:t>评审内容：</w:t>
            </w:r>
          </w:p>
          <w:p w14:paraId="04784FE6">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供应商根据采购文件要求提供实施方案，包括但不限于：</w:t>
            </w:r>
          </w:p>
          <w:p w14:paraId="36F7FAC0">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（1）工作流程；</w:t>
            </w:r>
          </w:p>
          <w:p w14:paraId="0D9F57C3">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（2）工作内容；</w:t>
            </w:r>
          </w:p>
          <w:p w14:paraId="4755C4EC">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（3）人员分工；</w:t>
            </w:r>
          </w:p>
          <w:p w14:paraId="0219BF3D">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cs="宋体"/>
                <w:kern w:val="2"/>
                <w:sz w:val="21"/>
                <w:szCs w:val="21"/>
                <w:lang w:val="en-US" w:eastAsia="zh-CN" w:bidi="ar-SA"/>
              </w:rPr>
              <w:t>4</w:t>
            </w:r>
            <w:r>
              <w:rPr>
                <w:rFonts w:hint="eastAsia" w:ascii="宋体" w:hAnsi="宋体" w:eastAsia="宋体" w:cs="宋体"/>
                <w:kern w:val="2"/>
                <w:sz w:val="21"/>
                <w:szCs w:val="21"/>
                <w:lang w:val="en-US" w:eastAsia="zh-CN" w:bidi="ar-SA"/>
              </w:rPr>
              <w:t xml:space="preserve">）质量标准与保障措施； </w:t>
            </w:r>
          </w:p>
          <w:p w14:paraId="43F8555F">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评审考核重点： </w:t>
            </w:r>
          </w:p>
          <w:p w14:paraId="2F2C52A6">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（1）合理性：方案必须完整，设想合理、恰当；（2）科学可行性：方案必须切合本项目实际情况，根据磋商文件要求提出操作性强、便于实施的设想方案。</w:t>
            </w:r>
          </w:p>
          <w:p w14:paraId="63B45505">
            <w:pPr>
              <w:spacing w:line="240" w:lineRule="auto"/>
              <w:ind w:left="0" w:leftChars="0" w:right="-89" w:rightChars="-37" w:firstLine="0" w:firstLineChars="0"/>
              <w:jc w:val="left"/>
            </w:pPr>
            <w:r>
              <w:rPr>
                <w:rFonts w:hint="eastAsia" w:ascii="宋体" w:hAnsi="宋体" w:eastAsia="宋体" w:cs="宋体"/>
                <w:kern w:val="2"/>
                <w:sz w:val="21"/>
                <w:szCs w:val="21"/>
                <w:lang w:val="en-US" w:eastAsia="zh-CN" w:bidi="ar-SA"/>
              </w:rPr>
              <w:t>上述4项评审内容，每项评审内容满足2个考核重点得</w:t>
            </w:r>
            <w:r>
              <w:rPr>
                <w:rFonts w:hint="eastAsia" w:cs="宋体"/>
                <w:kern w:val="2"/>
                <w:sz w:val="21"/>
                <w:szCs w:val="21"/>
                <w:lang w:val="en-US" w:eastAsia="zh-CN" w:bidi="ar-SA"/>
              </w:rPr>
              <w:t>3</w:t>
            </w:r>
            <w:r>
              <w:rPr>
                <w:rFonts w:hint="eastAsia" w:ascii="宋体" w:hAnsi="宋体" w:eastAsia="宋体" w:cs="宋体"/>
                <w:kern w:val="2"/>
                <w:sz w:val="21"/>
                <w:szCs w:val="21"/>
                <w:lang w:val="en-US" w:eastAsia="zh-CN" w:bidi="ar-SA"/>
              </w:rPr>
              <w:t>分，仅满足1个考核重点得</w:t>
            </w:r>
            <w:r>
              <w:rPr>
                <w:rFonts w:hint="eastAsia" w:cs="宋体"/>
                <w:kern w:val="2"/>
                <w:sz w:val="21"/>
                <w:szCs w:val="21"/>
                <w:lang w:val="en-US" w:eastAsia="zh-CN" w:bidi="ar-SA"/>
              </w:rPr>
              <w:t>.5</w:t>
            </w:r>
            <w:r>
              <w:rPr>
                <w:rFonts w:hint="eastAsia" w:ascii="宋体" w:hAnsi="宋体" w:eastAsia="宋体" w:cs="宋体"/>
                <w:kern w:val="2"/>
                <w:sz w:val="21"/>
                <w:szCs w:val="21"/>
                <w:lang w:val="en-US" w:eastAsia="zh-CN" w:bidi="ar-SA"/>
              </w:rPr>
              <w:t>分，其他不得分。满分</w:t>
            </w:r>
            <w:r>
              <w:rPr>
                <w:rFonts w:hint="eastAsia" w:cs="宋体"/>
                <w:kern w:val="2"/>
                <w:sz w:val="21"/>
                <w:szCs w:val="21"/>
                <w:lang w:val="en-US" w:eastAsia="zh-CN" w:bidi="ar-SA"/>
              </w:rPr>
              <w:t>12</w:t>
            </w:r>
            <w:r>
              <w:rPr>
                <w:rFonts w:hint="eastAsia" w:ascii="宋体" w:hAnsi="宋体" w:eastAsia="宋体" w:cs="宋体"/>
                <w:kern w:val="2"/>
                <w:sz w:val="21"/>
                <w:szCs w:val="21"/>
                <w:lang w:val="en-US" w:eastAsia="zh-CN" w:bidi="ar-SA"/>
              </w:rPr>
              <w:t>分。</w:t>
            </w:r>
          </w:p>
        </w:tc>
      </w:tr>
      <w:tr w14:paraId="4F5A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Merge w:val="continue"/>
            <w:vAlign w:val="center"/>
          </w:tcPr>
          <w:p w14:paraId="169E10A9">
            <w:pPr>
              <w:pStyle w:val="43"/>
              <w:rPr>
                <w:rFonts w:hint="eastAsia"/>
              </w:rPr>
            </w:pPr>
          </w:p>
        </w:tc>
        <w:tc>
          <w:tcPr>
            <w:tcW w:w="807" w:type="pct"/>
            <w:vAlign w:val="center"/>
          </w:tcPr>
          <w:p w14:paraId="158B98E3">
            <w:pPr>
              <w:spacing w:line="240" w:lineRule="auto"/>
              <w:ind w:left="0" w:leftChars="0" w:right="-89" w:rightChars="-37"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项目进度保障方案</w:t>
            </w:r>
          </w:p>
        </w:tc>
        <w:tc>
          <w:tcPr>
            <w:tcW w:w="641" w:type="pct"/>
            <w:vAlign w:val="center"/>
          </w:tcPr>
          <w:p w14:paraId="361859C8">
            <w:pPr>
              <w:tabs>
                <w:tab w:val="left" w:pos="351"/>
                <w:tab w:val="left" w:pos="816"/>
              </w:tabs>
              <w:ind w:left="0" w:leftChars="0" w:right="-89" w:rightChars="-37" w:firstLine="0" w:firstLineChars="0"/>
              <w:jc w:val="center"/>
              <w:rPr>
                <w:rFonts w:hint="eastAsia" w:cs="仿宋_GB2312"/>
                <w:color w:val="000000"/>
                <w:lang w:val="en-US" w:eastAsia="zh-CN"/>
              </w:rPr>
            </w:pPr>
            <w:r>
              <w:rPr>
                <w:rFonts w:hint="eastAsia" w:cs="仿宋_GB2312"/>
                <w:color w:val="000000"/>
                <w:lang w:val="en-US" w:eastAsia="zh-CN"/>
              </w:rPr>
              <w:t>主观分</w:t>
            </w:r>
          </w:p>
        </w:tc>
        <w:tc>
          <w:tcPr>
            <w:tcW w:w="473" w:type="pct"/>
            <w:vAlign w:val="center"/>
          </w:tcPr>
          <w:p w14:paraId="17877725">
            <w:pPr>
              <w:tabs>
                <w:tab w:val="left" w:pos="351"/>
                <w:tab w:val="left" w:pos="816"/>
              </w:tabs>
              <w:ind w:left="0" w:leftChars="0" w:right="-89" w:rightChars="-37" w:firstLine="0" w:firstLineChars="0"/>
              <w:jc w:val="center"/>
              <w:rPr>
                <w:rFonts w:hint="default" w:ascii="宋体" w:hAnsi="宋体" w:eastAsia="宋体" w:cs="仿宋_GB2312"/>
                <w:color w:val="000000"/>
                <w:kern w:val="2"/>
                <w:sz w:val="24"/>
                <w:szCs w:val="22"/>
                <w:lang w:val="en-US" w:eastAsia="zh-CN" w:bidi="ar-SA"/>
              </w:rPr>
            </w:pPr>
            <w:r>
              <w:rPr>
                <w:rFonts w:hint="eastAsia" w:cs="仿宋_GB2312"/>
                <w:color w:val="000000"/>
                <w:kern w:val="2"/>
                <w:sz w:val="24"/>
                <w:szCs w:val="22"/>
                <w:lang w:val="en-US" w:eastAsia="zh-CN" w:bidi="ar-SA"/>
              </w:rPr>
              <w:t>8</w:t>
            </w:r>
          </w:p>
        </w:tc>
        <w:tc>
          <w:tcPr>
            <w:tcW w:w="2666" w:type="pct"/>
            <w:vAlign w:val="center"/>
          </w:tcPr>
          <w:p w14:paraId="508014A8">
            <w:pPr>
              <w:spacing w:line="240" w:lineRule="auto"/>
              <w:ind w:left="0" w:leftChars="0" w:right="-89" w:rightChars="-37" w:firstLine="0" w:firstLineChars="0"/>
              <w:jc w:val="left"/>
              <w:rPr>
                <w:rFonts w:hint="eastAsia" w:cs="宋体"/>
                <w:kern w:val="2"/>
                <w:sz w:val="21"/>
                <w:szCs w:val="21"/>
                <w:lang w:val="en-US" w:eastAsia="zh-CN" w:bidi="ar-SA"/>
              </w:rPr>
            </w:pPr>
            <w:r>
              <w:rPr>
                <w:rFonts w:hint="eastAsia" w:cs="宋体"/>
                <w:kern w:val="2"/>
                <w:sz w:val="21"/>
                <w:szCs w:val="21"/>
                <w:lang w:val="en-US" w:eastAsia="zh-CN" w:bidi="ar-SA"/>
              </w:rPr>
              <w:t>评审内容：</w:t>
            </w:r>
          </w:p>
          <w:p w14:paraId="7D56E45F">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供应商根据采购文件要求提供项目进度保障方案，包括但不限于：</w:t>
            </w:r>
          </w:p>
          <w:p w14:paraId="16C0C46C">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（1）进度计划安排；</w:t>
            </w:r>
          </w:p>
          <w:p w14:paraId="6BE3D7F1">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（2）进度保障措施；</w:t>
            </w:r>
          </w:p>
          <w:p w14:paraId="0F45F448">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评审考核重点：</w:t>
            </w:r>
          </w:p>
          <w:p w14:paraId="3F3FAE7E">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（1）合理性：方案必须完整，设想合理、恰当；（2）科学可行性：方案必须切合本项目实际情况，根据磋商文件要求提出操作性强、便于实施的设想方案。</w:t>
            </w:r>
          </w:p>
          <w:p w14:paraId="6A8436A2">
            <w:pPr>
              <w:spacing w:line="240" w:lineRule="auto"/>
              <w:ind w:left="0" w:leftChars="0" w:right="-89" w:rightChars="-37" w:firstLine="0" w:firstLineChars="0"/>
              <w:jc w:val="left"/>
            </w:pPr>
            <w:r>
              <w:rPr>
                <w:rFonts w:hint="eastAsia" w:ascii="宋体" w:hAnsi="宋体" w:eastAsia="宋体" w:cs="宋体"/>
                <w:kern w:val="2"/>
                <w:sz w:val="21"/>
                <w:szCs w:val="21"/>
                <w:lang w:val="en-US" w:eastAsia="zh-CN" w:bidi="ar-SA"/>
              </w:rPr>
              <w:t>上述</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项评审内容，每项评审内容满足2个考核重点得</w:t>
            </w:r>
            <w:r>
              <w:rPr>
                <w:rFonts w:hint="eastAsia" w:cs="宋体"/>
                <w:kern w:val="2"/>
                <w:sz w:val="21"/>
                <w:szCs w:val="21"/>
                <w:lang w:val="en-US" w:eastAsia="zh-CN" w:bidi="ar-SA"/>
              </w:rPr>
              <w:t>4</w:t>
            </w:r>
            <w:r>
              <w:rPr>
                <w:rFonts w:hint="eastAsia" w:ascii="宋体" w:hAnsi="宋体" w:eastAsia="宋体" w:cs="宋体"/>
                <w:kern w:val="2"/>
                <w:sz w:val="21"/>
                <w:szCs w:val="21"/>
                <w:lang w:val="en-US" w:eastAsia="zh-CN" w:bidi="ar-SA"/>
              </w:rPr>
              <w:t>分，仅满足1个考核重点得</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 xml:space="preserve">分，其他不得分。满分 </w:t>
            </w:r>
            <w:r>
              <w:rPr>
                <w:rFonts w:hint="eastAsia" w:cs="宋体"/>
                <w:kern w:val="2"/>
                <w:sz w:val="21"/>
                <w:szCs w:val="21"/>
                <w:lang w:val="en-US" w:eastAsia="zh-CN" w:bidi="ar-SA"/>
              </w:rPr>
              <w:t>8</w:t>
            </w:r>
            <w:r>
              <w:rPr>
                <w:rFonts w:hint="eastAsia" w:ascii="宋体" w:hAnsi="宋体" w:eastAsia="宋体" w:cs="宋体"/>
                <w:kern w:val="2"/>
                <w:sz w:val="21"/>
                <w:szCs w:val="21"/>
                <w:lang w:val="en-US" w:eastAsia="zh-CN" w:bidi="ar-SA"/>
              </w:rPr>
              <w:t>分。</w:t>
            </w:r>
          </w:p>
        </w:tc>
      </w:tr>
      <w:tr w14:paraId="6289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Merge w:val="continue"/>
            <w:vAlign w:val="center"/>
          </w:tcPr>
          <w:p w14:paraId="760781C4">
            <w:pPr>
              <w:pStyle w:val="43"/>
            </w:pPr>
          </w:p>
        </w:tc>
        <w:tc>
          <w:tcPr>
            <w:tcW w:w="807" w:type="pct"/>
            <w:vAlign w:val="center"/>
          </w:tcPr>
          <w:p w14:paraId="01FC435B">
            <w:pPr>
              <w:spacing w:line="240" w:lineRule="auto"/>
              <w:ind w:left="0" w:leftChars="0" w:right="-89" w:rightChars="-37"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内部管理制度</w:t>
            </w:r>
          </w:p>
        </w:tc>
        <w:tc>
          <w:tcPr>
            <w:tcW w:w="641" w:type="pct"/>
            <w:vAlign w:val="center"/>
          </w:tcPr>
          <w:p w14:paraId="7B0E8A92">
            <w:pPr>
              <w:tabs>
                <w:tab w:val="left" w:pos="351"/>
                <w:tab w:val="left" w:pos="816"/>
              </w:tabs>
              <w:ind w:left="0" w:leftChars="0" w:right="-58" w:rightChars="-24" w:firstLine="0" w:firstLineChars="0"/>
              <w:jc w:val="center"/>
              <w:rPr>
                <w:rFonts w:hint="eastAsia" w:cs="仿宋_GB2312"/>
                <w:color w:val="000000"/>
                <w:lang w:val="en-US" w:eastAsia="zh-CN"/>
              </w:rPr>
            </w:pPr>
            <w:r>
              <w:rPr>
                <w:rFonts w:hint="eastAsia" w:cs="仿宋_GB2312"/>
                <w:color w:val="000000"/>
                <w:lang w:val="en-US" w:eastAsia="zh-CN"/>
              </w:rPr>
              <w:t>主观分</w:t>
            </w:r>
          </w:p>
        </w:tc>
        <w:tc>
          <w:tcPr>
            <w:tcW w:w="473" w:type="pct"/>
            <w:vAlign w:val="center"/>
          </w:tcPr>
          <w:p w14:paraId="46CBFE88">
            <w:pPr>
              <w:tabs>
                <w:tab w:val="left" w:pos="351"/>
                <w:tab w:val="left" w:pos="816"/>
              </w:tabs>
              <w:ind w:left="0" w:leftChars="0" w:right="-58" w:rightChars="-24" w:firstLine="0" w:firstLineChars="0"/>
              <w:jc w:val="center"/>
              <w:rPr>
                <w:rFonts w:hint="default" w:ascii="宋体" w:hAnsi="宋体" w:eastAsia="宋体" w:cs="仿宋_GB2312"/>
                <w:color w:val="000000"/>
                <w:kern w:val="2"/>
                <w:sz w:val="24"/>
                <w:szCs w:val="22"/>
                <w:lang w:val="en-US" w:eastAsia="zh-CN" w:bidi="ar-SA"/>
              </w:rPr>
            </w:pPr>
            <w:r>
              <w:rPr>
                <w:rFonts w:hint="eastAsia" w:cs="仿宋_GB2312"/>
                <w:color w:val="000000"/>
                <w:kern w:val="2"/>
                <w:sz w:val="24"/>
                <w:szCs w:val="22"/>
                <w:lang w:val="en-US" w:eastAsia="zh-CN" w:bidi="ar-SA"/>
              </w:rPr>
              <w:t>8</w:t>
            </w:r>
          </w:p>
        </w:tc>
        <w:tc>
          <w:tcPr>
            <w:tcW w:w="2666" w:type="pct"/>
            <w:vAlign w:val="center"/>
          </w:tcPr>
          <w:p w14:paraId="16A92976">
            <w:pPr>
              <w:spacing w:line="240" w:lineRule="auto"/>
              <w:ind w:left="0" w:leftChars="0" w:right="-89" w:rightChars="-37" w:firstLine="0" w:firstLineChars="0"/>
              <w:jc w:val="left"/>
              <w:rPr>
                <w:rFonts w:hint="eastAsia" w:cs="宋体"/>
                <w:kern w:val="2"/>
                <w:sz w:val="21"/>
                <w:szCs w:val="21"/>
                <w:lang w:val="en-US" w:eastAsia="zh-CN" w:bidi="ar-SA"/>
              </w:rPr>
            </w:pPr>
            <w:r>
              <w:rPr>
                <w:rFonts w:hint="eastAsia" w:cs="宋体"/>
                <w:kern w:val="2"/>
                <w:sz w:val="21"/>
                <w:szCs w:val="21"/>
                <w:lang w:val="en-US" w:eastAsia="zh-CN" w:bidi="ar-SA"/>
              </w:rPr>
              <w:t>评审内容：</w:t>
            </w:r>
          </w:p>
          <w:p w14:paraId="51CA63BB">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供应商根据采购文件要求提供内部管理制度，包括但不限于：</w:t>
            </w:r>
          </w:p>
          <w:p w14:paraId="5FD0C83D">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（1）质量控制制度； </w:t>
            </w:r>
          </w:p>
          <w:p w14:paraId="15C550A9">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（2）风险控制制度； </w:t>
            </w:r>
          </w:p>
          <w:p w14:paraId="17AD2B7E">
            <w:pPr>
              <w:spacing w:line="240" w:lineRule="auto"/>
              <w:ind w:left="0" w:leftChars="0" w:right="-89" w:rightChars="-37" w:firstLine="0" w:firstLineChars="0"/>
              <w:jc w:val="left"/>
              <w:rPr>
                <w:rFonts w:hint="eastAsia" w:cs="宋体"/>
                <w:kern w:val="2"/>
                <w:sz w:val="21"/>
                <w:szCs w:val="21"/>
                <w:lang w:val="en-US" w:eastAsia="zh-CN" w:bidi="ar-SA"/>
              </w:rPr>
            </w:pPr>
            <w:r>
              <w:rPr>
                <w:rFonts w:hint="eastAsia" w:ascii="宋体" w:hAnsi="宋体" w:eastAsia="宋体" w:cs="宋体"/>
                <w:kern w:val="2"/>
                <w:sz w:val="21"/>
                <w:szCs w:val="21"/>
                <w:lang w:val="en-US" w:eastAsia="zh-CN" w:bidi="ar-SA"/>
              </w:rPr>
              <w:t>（3）财务管理制度</w:t>
            </w:r>
            <w:r>
              <w:rPr>
                <w:rFonts w:hint="eastAsia" w:cs="宋体"/>
                <w:kern w:val="2"/>
                <w:sz w:val="21"/>
                <w:szCs w:val="21"/>
                <w:lang w:val="en-US" w:eastAsia="zh-CN" w:bidi="ar-SA"/>
              </w:rPr>
              <w:t>；</w:t>
            </w:r>
          </w:p>
          <w:p w14:paraId="4846C50F">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cs="宋体"/>
                <w:kern w:val="2"/>
                <w:sz w:val="21"/>
                <w:szCs w:val="21"/>
                <w:lang w:val="en-US" w:eastAsia="zh-CN" w:bidi="ar-SA"/>
              </w:rPr>
              <w:t>（4）档案管理制度</w:t>
            </w:r>
            <w:r>
              <w:rPr>
                <w:rFonts w:hint="eastAsia" w:ascii="宋体" w:hAnsi="宋体" w:eastAsia="宋体" w:cs="宋体"/>
                <w:kern w:val="2"/>
                <w:sz w:val="21"/>
                <w:szCs w:val="21"/>
                <w:lang w:val="en-US" w:eastAsia="zh-CN" w:bidi="ar-SA"/>
              </w:rPr>
              <w:t>。</w:t>
            </w:r>
          </w:p>
          <w:p w14:paraId="07BDD34D">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评审考核重点：</w:t>
            </w:r>
          </w:p>
          <w:p w14:paraId="7CDFDC41">
            <w:pPr>
              <w:numPr>
                <w:ilvl w:val="0"/>
                <w:numId w:val="22"/>
              </w:num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合理性：方案必须完整，设想合理、恰当；（2）科学可行性：方案必须切合本项目实际情况，根据磋商文件要求提出操作性强、便于实施的设想方案。</w:t>
            </w:r>
          </w:p>
          <w:p w14:paraId="0146C550">
            <w:pPr>
              <w:numPr>
                <w:ilvl w:val="0"/>
                <w:numId w:val="0"/>
              </w:numPr>
              <w:spacing w:line="240" w:lineRule="auto"/>
              <w:ind w:leftChars="0" w:right="-89" w:rightChars="-37"/>
              <w:jc w:val="left"/>
            </w:pPr>
            <w:r>
              <w:rPr>
                <w:rFonts w:hint="eastAsia" w:ascii="宋体" w:hAnsi="宋体" w:eastAsia="宋体" w:cs="宋体"/>
                <w:kern w:val="2"/>
                <w:sz w:val="21"/>
                <w:szCs w:val="21"/>
                <w:lang w:val="en-US" w:eastAsia="zh-CN" w:bidi="ar-SA"/>
              </w:rPr>
              <w:t>上述</w:t>
            </w:r>
            <w:r>
              <w:rPr>
                <w:rFonts w:hint="eastAsia" w:cs="宋体"/>
                <w:kern w:val="2"/>
                <w:sz w:val="21"/>
                <w:szCs w:val="21"/>
                <w:lang w:val="en-US" w:eastAsia="zh-CN" w:bidi="ar-SA"/>
              </w:rPr>
              <w:t>4</w:t>
            </w:r>
            <w:r>
              <w:rPr>
                <w:rFonts w:hint="eastAsia" w:ascii="宋体" w:hAnsi="宋体" w:eastAsia="宋体" w:cs="宋体"/>
                <w:kern w:val="2"/>
                <w:sz w:val="21"/>
                <w:szCs w:val="21"/>
                <w:lang w:val="en-US" w:eastAsia="zh-CN" w:bidi="ar-SA"/>
              </w:rPr>
              <w:t>项评审内容，每项评审内容满足2个考核重点得2分，仅满足1个考核重点得1分，其他不得分。满分</w:t>
            </w:r>
            <w:r>
              <w:rPr>
                <w:rFonts w:hint="eastAsia" w:cs="宋体"/>
                <w:kern w:val="2"/>
                <w:sz w:val="21"/>
                <w:szCs w:val="21"/>
                <w:lang w:val="en-US" w:eastAsia="zh-CN" w:bidi="ar-SA"/>
              </w:rPr>
              <w:t>8</w:t>
            </w:r>
            <w:r>
              <w:rPr>
                <w:rFonts w:hint="eastAsia" w:ascii="宋体" w:hAnsi="宋体" w:eastAsia="宋体" w:cs="宋体"/>
                <w:kern w:val="2"/>
                <w:sz w:val="21"/>
                <w:szCs w:val="21"/>
                <w:lang w:val="en-US" w:eastAsia="zh-CN" w:bidi="ar-SA"/>
              </w:rPr>
              <w:t>分。</w:t>
            </w:r>
          </w:p>
        </w:tc>
      </w:tr>
      <w:tr w14:paraId="1E6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Merge w:val="continue"/>
            <w:vAlign w:val="center"/>
          </w:tcPr>
          <w:p w14:paraId="2724B083">
            <w:pPr>
              <w:pStyle w:val="43"/>
            </w:pPr>
          </w:p>
        </w:tc>
        <w:tc>
          <w:tcPr>
            <w:tcW w:w="807" w:type="pct"/>
            <w:vAlign w:val="center"/>
          </w:tcPr>
          <w:p w14:paraId="1D39E663">
            <w:pPr>
              <w:spacing w:line="240" w:lineRule="auto"/>
              <w:ind w:left="0" w:leftChars="0" w:right="-89" w:rightChars="-37"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应急</w:t>
            </w:r>
          </w:p>
          <w:p w14:paraId="5940D2B6">
            <w:pPr>
              <w:spacing w:line="240" w:lineRule="auto"/>
              <w:ind w:left="0" w:leftChars="0" w:right="-89" w:rightChars="-37"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保障措施</w:t>
            </w:r>
          </w:p>
        </w:tc>
        <w:tc>
          <w:tcPr>
            <w:tcW w:w="641" w:type="pct"/>
            <w:vAlign w:val="center"/>
          </w:tcPr>
          <w:p w14:paraId="720D6789">
            <w:pPr>
              <w:tabs>
                <w:tab w:val="left" w:pos="351"/>
                <w:tab w:val="left" w:pos="816"/>
              </w:tabs>
              <w:ind w:left="0" w:leftChars="0" w:right="-58" w:rightChars="-24" w:firstLine="0" w:firstLineChars="0"/>
              <w:jc w:val="center"/>
              <w:rPr>
                <w:rFonts w:hint="eastAsia" w:cs="仿宋_GB2312"/>
                <w:color w:val="000000"/>
              </w:rPr>
            </w:pPr>
            <w:r>
              <w:rPr>
                <w:rFonts w:hint="eastAsia" w:cs="仿宋_GB2312"/>
                <w:color w:val="000000"/>
                <w:lang w:val="en-US" w:eastAsia="zh-CN"/>
              </w:rPr>
              <w:t>主观分</w:t>
            </w:r>
          </w:p>
        </w:tc>
        <w:tc>
          <w:tcPr>
            <w:tcW w:w="473" w:type="pct"/>
            <w:vAlign w:val="center"/>
          </w:tcPr>
          <w:p w14:paraId="4403F9F8">
            <w:pPr>
              <w:tabs>
                <w:tab w:val="left" w:pos="351"/>
                <w:tab w:val="left" w:pos="816"/>
              </w:tabs>
              <w:ind w:left="0" w:leftChars="0" w:right="-58" w:rightChars="-24" w:firstLine="0" w:firstLineChars="0"/>
              <w:jc w:val="center"/>
              <w:rPr>
                <w:rFonts w:hint="default" w:ascii="宋体" w:hAnsi="宋体" w:eastAsia="宋体" w:cs="仿宋_GB2312"/>
                <w:color w:val="000000"/>
                <w:kern w:val="2"/>
                <w:sz w:val="24"/>
                <w:szCs w:val="22"/>
                <w:lang w:val="en-US" w:eastAsia="zh-CN" w:bidi="ar-SA"/>
              </w:rPr>
            </w:pPr>
            <w:r>
              <w:rPr>
                <w:rFonts w:hint="eastAsia" w:cs="仿宋_GB2312"/>
                <w:color w:val="000000"/>
                <w:kern w:val="2"/>
                <w:sz w:val="24"/>
                <w:szCs w:val="22"/>
                <w:lang w:val="en-US" w:eastAsia="zh-CN" w:bidi="ar-SA"/>
              </w:rPr>
              <w:t>8</w:t>
            </w:r>
          </w:p>
        </w:tc>
        <w:tc>
          <w:tcPr>
            <w:tcW w:w="2666" w:type="pct"/>
            <w:vAlign w:val="center"/>
          </w:tcPr>
          <w:p w14:paraId="396E6ACF">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根据供应商提供应急保障措施，包括但不限于：</w:t>
            </w:r>
          </w:p>
          <w:p w14:paraId="35CA7D5E">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（1）应急救援预案及人员；</w:t>
            </w:r>
          </w:p>
          <w:p w14:paraId="627920D8">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（2）物资保障措施。</w:t>
            </w:r>
          </w:p>
          <w:p w14:paraId="57765452">
            <w:p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评审考核重点：</w:t>
            </w:r>
          </w:p>
          <w:p w14:paraId="48A06DA9">
            <w:pPr>
              <w:numPr>
                <w:ilvl w:val="0"/>
                <w:numId w:val="23"/>
              </w:numPr>
              <w:spacing w:line="240" w:lineRule="auto"/>
              <w:ind w:left="0" w:leftChars="0" w:right="-89" w:rightChars="-37"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合理性：方案必须完整，设想合理、恰当；（2）可行性：方案必须切合本项目实际情况，根据磋商文件要求提出便于实施的设想方案。</w:t>
            </w:r>
          </w:p>
          <w:p w14:paraId="32700BAF">
            <w:pPr>
              <w:numPr>
                <w:ilvl w:val="0"/>
                <w:numId w:val="0"/>
              </w:numPr>
              <w:spacing w:line="240" w:lineRule="auto"/>
              <w:ind w:leftChars="0" w:right="-89" w:rightChars="-37"/>
              <w:jc w:val="left"/>
            </w:pPr>
            <w:r>
              <w:rPr>
                <w:rFonts w:hint="eastAsia" w:ascii="宋体" w:hAnsi="宋体" w:eastAsia="宋体" w:cs="宋体"/>
                <w:kern w:val="2"/>
                <w:sz w:val="21"/>
                <w:szCs w:val="21"/>
                <w:lang w:val="en-US" w:eastAsia="zh-CN" w:bidi="ar-SA"/>
              </w:rPr>
              <w:t>上述2项评审内容，每项评审内容满足2个考核重点得</w:t>
            </w:r>
            <w:r>
              <w:rPr>
                <w:rFonts w:hint="eastAsia" w:cs="宋体"/>
                <w:kern w:val="2"/>
                <w:sz w:val="21"/>
                <w:szCs w:val="21"/>
                <w:lang w:val="en-US" w:eastAsia="zh-CN" w:bidi="ar-SA"/>
              </w:rPr>
              <w:t>4</w:t>
            </w:r>
            <w:r>
              <w:rPr>
                <w:rFonts w:hint="eastAsia" w:ascii="宋体" w:hAnsi="宋体" w:eastAsia="宋体" w:cs="宋体"/>
                <w:kern w:val="2"/>
                <w:sz w:val="21"/>
                <w:szCs w:val="21"/>
                <w:lang w:val="en-US" w:eastAsia="zh-CN" w:bidi="ar-SA"/>
              </w:rPr>
              <w:t>分，仅满足1个考核重点得</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分，其他不得分。满分</w:t>
            </w:r>
            <w:r>
              <w:rPr>
                <w:rFonts w:hint="eastAsia" w:cs="宋体"/>
                <w:kern w:val="2"/>
                <w:sz w:val="21"/>
                <w:szCs w:val="21"/>
                <w:lang w:val="en-US" w:eastAsia="zh-CN" w:bidi="ar-SA"/>
              </w:rPr>
              <w:t>8</w:t>
            </w:r>
            <w:r>
              <w:rPr>
                <w:rFonts w:hint="eastAsia" w:ascii="宋体" w:hAnsi="宋体" w:eastAsia="宋体" w:cs="宋体"/>
                <w:kern w:val="2"/>
                <w:sz w:val="21"/>
                <w:szCs w:val="21"/>
                <w:lang w:val="en-US" w:eastAsia="zh-CN" w:bidi="ar-SA"/>
              </w:rPr>
              <w:t>分。</w:t>
            </w:r>
          </w:p>
        </w:tc>
      </w:tr>
      <w:tr w14:paraId="3015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Align w:val="center"/>
          </w:tcPr>
          <w:p w14:paraId="75690CEF">
            <w:pPr>
              <w:pStyle w:val="43"/>
            </w:pPr>
          </w:p>
        </w:tc>
        <w:tc>
          <w:tcPr>
            <w:tcW w:w="807" w:type="pct"/>
            <w:vAlign w:val="center"/>
          </w:tcPr>
          <w:p w14:paraId="2EE6AE29">
            <w:pPr>
              <w:spacing w:line="240" w:lineRule="auto"/>
              <w:ind w:left="0" w:leftChars="0" w:right="-89" w:rightChars="-37"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响应时间</w:t>
            </w:r>
          </w:p>
        </w:tc>
        <w:tc>
          <w:tcPr>
            <w:tcW w:w="641" w:type="pct"/>
            <w:vAlign w:val="center"/>
          </w:tcPr>
          <w:p w14:paraId="6B04A44C">
            <w:pPr>
              <w:tabs>
                <w:tab w:val="left" w:pos="351"/>
                <w:tab w:val="left" w:pos="816"/>
              </w:tabs>
              <w:ind w:left="0" w:leftChars="0" w:right="-58" w:rightChars="-24" w:firstLine="0" w:firstLineChars="0"/>
              <w:jc w:val="center"/>
              <w:rPr>
                <w:rFonts w:hint="default" w:cs="仿宋_GB2312"/>
                <w:color w:val="000000"/>
                <w:lang w:val="en-US" w:eastAsia="zh-CN"/>
              </w:rPr>
            </w:pPr>
            <w:r>
              <w:rPr>
                <w:rFonts w:hint="eastAsia" w:cs="仿宋_GB2312"/>
                <w:color w:val="000000"/>
                <w:lang w:val="en-US" w:eastAsia="zh-CN"/>
              </w:rPr>
              <w:t>客观分</w:t>
            </w:r>
          </w:p>
        </w:tc>
        <w:tc>
          <w:tcPr>
            <w:tcW w:w="473" w:type="pct"/>
            <w:vAlign w:val="center"/>
          </w:tcPr>
          <w:p w14:paraId="011B43FC">
            <w:pPr>
              <w:tabs>
                <w:tab w:val="left" w:pos="351"/>
                <w:tab w:val="left" w:pos="816"/>
              </w:tabs>
              <w:ind w:left="0" w:leftChars="0" w:right="-58" w:rightChars="-24" w:firstLine="0" w:firstLineChars="0"/>
              <w:jc w:val="center"/>
              <w:rPr>
                <w:rFonts w:hint="default" w:cs="仿宋_GB2312"/>
                <w:color w:val="000000"/>
                <w:kern w:val="2"/>
                <w:sz w:val="24"/>
                <w:szCs w:val="22"/>
                <w:lang w:val="en-US" w:eastAsia="zh-CN" w:bidi="ar-SA"/>
              </w:rPr>
            </w:pPr>
            <w:r>
              <w:rPr>
                <w:rFonts w:hint="eastAsia" w:cs="仿宋_GB2312"/>
                <w:color w:val="000000"/>
                <w:kern w:val="2"/>
                <w:sz w:val="24"/>
                <w:szCs w:val="22"/>
                <w:lang w:val="en-US" w:eastAsia="zh-CN" w:bidi="ar-SA"/>
              </w:rPr>
              <w:t>4</w:t>
            </w:r>
          </w:p>
        </w:tc>
        <w:tc>
          <w:tcPr>
            <w:tcW w:w="2666" w:type="pct"/>
            <w:vAlign w:val="center"/>
          </w:tcPr>
          <w:p w14:paraId="5F13A1DB">
            <w:pPr>
              <w:numPr>
                <w:ilvl w:val="0"/>
                <w:numId w:val="0"/>
              </w:numPr>
              <w:spacing w:line="240" w:lineRule="auto"/>
              <w:ind w:leftChars="0" w:right="-89" w:rightChars="-37"/>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严格按照学校提供的搬运要求要求进行服务，在满足基本要求的前提下：</w:t>
            </w:r>
          </w:p>
          <w:p w14:paraId="17B1CB7E">
            <w:pPr>
              <w:numPr>
                <w:ilvl w:val="0"/>
                <w:numId w:val="0"/>
              </w:numPr>
              <w:spacing w:line="240" w:lineRule="auto"/>
              <w:ind w:leftChars="0" w:right="-89" w:rightChars="-37"/>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1、供应商承诺能在</w:t>
            </w:r>
            <w:r>
              <w:rPr>
                <w:rFonts w:hint="eastAsia" w:cs="宋体"/>
                <w:kern w:val="2"/>
                <w:sz w:val="21"/>
                <w:szCs w:val="21"/>
                <w:lang w:val="en-US" w:eastAsia="zh-CN" w:bidi="ar-SA"/>
              </w:rPr>
              <w:t>12</w:t>
            </w:r>
            <w:r>
              <w:rPr>
                <w:rFonts w:hint="eastAsia" w:ascii="宋体" w:hAnsi="宋体" w:eastAsia="宋体" w:cs="宋体"/>
                <w:kern w:val="2"/>
                <w:sz w:val="21"/>
                <w:szCs w:val="21"/>
                <w:lang w:val="en-US" w:eastAsia="zh-CN" w:bidi="ar-SA"/>
              </w:rPr>
              <w:t>小时内响应并派工到现场提供搬运服务的得</w:t>
            </w:r>
            <w:r>
              <w:rPr>
                <w:rFonts w:hint="eastAsia" w:cs="宋体"/>
                <w:kern w:val="2"/>
                <w:sz w:val="21"/>
                <w:szCs w:val="21"/>
                <w:lang w:val="en-US" w:eastAsia="zh-CN" w:bidi="ar-SA"/>
              </w:rPr>
              <w:t>1</w:t>
            </w:r>
            <w:r>
              <w:rPr>
                <w:rFonts w:hint="eastAsia" w:ascii="宋体" w:hAnsi="宋体" w:eastAsia="宋体" w:cs="宋体"/>
                <w:kern w:val="2"/>
                <w:sz w:val="21"/>
                <w:szCs w:val="21"/>
                <w:lang w:val="en-US" w:eastAsia="zh-CN" w:bidi="ar-SA"/>
              </w:rPr>
              <w:t>分；</w:t>
            </w:r>
          </w:p>
          <w:p w14:paraId="4C296EC2">
            <w:pPr>
              <w:numPr>
                <w:ilvl w:val="0"/>
                <w:numId w:val="0"/>
              </w:numPr>
              <w:spacing w:line="240" w:lineRule="auto"/>
              <w:ind w:leftChars="0" w:right="-89" w:rightChars="-37"/>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2、能在6小时内响应并派工到现场提供搬运服务的得</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分；</w:t>
            </w:r>
          </w:p>
          <w:p w14:paraId="1ABCBEAE">
            <w:pPr>
              <w:numPr>
                <w:ilvl w:val="0"/>
                <w:numId w:val="0"/>
              </w:numPr>
              <w:spacing w:line="240" w:lineRule="auto"/>
              <w:ind w:leftChars="0" w:right="-89" w:rightChars="-37"/>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3、能在</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小时内响应并派工到现场提供搬运服务的得</w:t>
            </w:r>
            <w:r>
              <w:rPr>
                <w:rFonts w:hint="eastAsia" w:cs="宋体"/>
                <w:kern w:val="2"/>
                <w:sz w:val="21"/>
                <w:szCs w:val="21"/>
                <w:lang w:val="en-US" w:eastAsia="zh-CN" w:bidi="ar-SA"/>
              </w:rPr>
              <w:t>4</w:t>
            </w:r>
            <w:r>
              <w:rPr>
                <w:rFonts w:hint="eastAsia" w:ascii="宋体" w:hAnsi="宋体" w:eastAsia="宋体" w:cs="宋体"/>
                <w:kern w:val="2"/>
                <w:sz w:val="21"/>
                <w:szCs w:val="21"/>
                <w:lang w:val="en-US" w:eastAsia="zh-CN" w:bidi="ar-SA"/>
              </w:rPr>
              <w:t>分。</w:t>
            </w:r>
          </w:p>
        </w:tc>
      </w:tr>
      <w:tr w14:paraId="5D08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pct"/>
            <w:gridSpan w:val="3"/>
            <w:tcBorders>
              <w:bottom w:val="single" w:color="auto" w:sz="4" w:space="0"/>
            </w:tcBorders>
            <w:vAlign w:val="center"/>
          </w:tcPr>
          <w:p w14:paraId="3E3BBB04">
            <w:pPr>
              <w:pStyle w:val="43"/>
              <w:jc w:val="center"/>
              <w:rPr>
                <w:rFonts w:hint="eastAsia" w:eastAsia="宋体"/>
                <w:lang w:val="en-US" w:eastAsia="zh-CN"/>
              </w:rPr>
            </w:pPr>
            <w:r>
              <w:rPr>
                <w:rFonts w:hint="eastAsia"/>
                <w:lang w:val="en-US" w:eastAsia="zh-CN"/>
              </w:rPr>
              <w:t>合计</w:t>
            </w:r>
          </w:p>
        </w:tc>
        <w:tc>
          <w:tcPr>
            <w:tcW w:w="473" w:type="pct"/>
            <w:tcBorders>
              <w:bottom w:val="single" w:color="auto" w:sz="4" w:space="0"/>
            </w:tcBorders>
            <w:vAlign w:val="center"/>
          </w:tcPr>
          <w:p w14:paraId="3BCAEA83">
            <w:pPr>
              <w:pStyle w:val="43"/>
              <w:jc w:val="center"/>
            </w:pPr>
            <w:r>
              <w:rPr>
                <w:rFonts w:hint="eastAsia"/>
              </w:rPr>
              <w:fldChar w:fldCharType="begin"/>
            </w:r>
            <w:r>
              <w:rPr>
                <w:rFonts w:hint="eastAsia"/>
              </w:rPr>
              <w:instrText xml:space="preserve"> =SUM(ABOVE) </w:instrText>
            </w:r>
            <w:r>
              <w:rPr>
                <w:rFonts w:hint="eastAsia"/>
              </w:rPr>
              <w:fldChar w:fldCharType="separate"/>
            </w:r>
            <w:r>
              <w:rPr>
                <w:rFonts w:hint="eastAsia"/>
              </w:rPr>
              <w:t>100</w:t>
            </w:r>
            <w:r>
              <w:rPr>
                <w:rFonts w:hint="eastAsia"/>
              </w:rPr>
              <w:fldChar w:fldCharType="end"/>
            </w:r>
          </w:p>
        </w:tc>
        <w:tc>
          <w:tcPr>
            <w:tcW w:w="2666" w:type="pct"/>
            <w:tcBorders>
              <w:bottom w:val="single" w:color="auto" w:sz="4" w:space="0"/>
            </w:tcBorders>
            <w:vAlign w:val="center"/>
          </w:tcPr>
          <w:p w14:paraId="28E2565B">
            <w:pPr>
              <w:pStyle w:val="43"/>
            </w:pPr>
          </w:p>
        </w:tc>
      </w:tr>
    </w:tbl>
    <w:p w14:paraId="5D21AD73">
      <w:pPr>
        <w:sectPr>
          <w:pgSz w:w="11906" w:h="16838"/>
          <w:pgMar w:top="1440" w:right="1474" w:bottom="1440" w:left="1587" w:header="851" w:footer="992" w:gutter="0"/>
          <w:cols w:space="425" w:num="1"/>
          <w:docGrid w:type="lines" w:linePitch="312" w:charSpace="0"/>
        </w:sectPr>
      </w:pPr>
    </w:p>
    <w:p w14:paraId="34E176C2">
      <w:pPr>
        <w:pStyle w:val="2"/>
        <w:numPr>
          <w:ilvl w:val="0"/>
          <w:numId w:val="1"/>
        </w:numPr>
      </w:pPr>
      <w:bookmarkStart w:id="537" w:name="_Toc163493641"/>
      <w:bookmarkStart w:id="538" w:name="_Toc16169"/>
      <w:bookmarkStart w:id="539" w:name="_Toc22937"/>
      <w:bookmarkStart w:id="540" w:name="_Toc24964"/>
      <w:bookmarkStart w:id="541" w:name="_Toc26316"/>
      <w:bookmarkStart w:id="542" w:name="_Toc27157"/>
      <w:r>
        <w:rPr>
          <w:rFonts w:hint="eastAsia"/>
        </w:rPr>
        <w:t>合同草案</w:t>
      </w:r>
      <w:bookmarkEnd w:id="537"/>
      <w:bookmarkEnd w:id="538"/>
      <w:bookmarkEnd w:id="539"/>
      <w:bookmarkEnd w:id="540"/>
      <w:bookmarkEnd w:id="541"/>
      <w:bookmarkEnd w:id="542"/>
    </w:p>
    <w:p w14:paraId="07662FA4">
      <w:pPr>
        <w:rPr>
          <w:bCs/>
          <w:color w:val="FF0000"/>
          <w:sz w:val="36"/>
          <w:szCs w:val="36"/>
        </w:rPr>
      </w:pPr>
      <w:r>
        <w:rPr>
          <w:rFonts w:hint="eastAsia"/>
          <w:color w:val="FF0000"/>
        </w:rPr>
        <w:t>【此合同书仅作为签订正式合同时的参考，正式合同书应包括本参考格式的内容】</w:t>
      </w:r>
    </w:p>
    <w:p w14:paraId="42F0B646">
      <w:pPr>
        <w:wordWrap w:val="0"/>
        <w:rPr>
          <w:bCs/>
          <w:sz w:val="28"/>
          <w:szCs w:val="28"/>
        </w:rPr>
      </w:pPr>
      <w:r>
        <w:rPr>
          <w:rFonts w:hint="eastAsia" w:cs="Helvetica"/>
          <w:bCs/>
          <w:szCs w:val="24"/>
          <w:lang w:val="zh-CN"/>
        </w:rPr>
        <w:t>合同编号：</w:t>
      </w:r>
      <w:r>
        <w:rPr>
          <w:rFonts w:hint="eastAsia" w:cs="Helvetica"/>
          <w:bCs/>
          <w:szCs w:val="24"/>
          <w:u w:val="single"/>
        </w:rPr>
        <w:t xml:space="preserve">              </w:t>
      </w:r>
    </w:p>
    <w:p w14:paraId="26A5FF6B">
      <w:pPr>
        <w:wordWrap w:val="0"/>
        <w:jc w:val="center"/>
        <w:rPr>
          <w:bCs/>
          <w:sz w:val="36"/>
          <w:szCs w:val="36"/>
        </w:rPr>
      </w:pPr>
    </w:p>
    <w:p w14:paraId="0CCEBA48">
      <w:pPr>
        <w:wordWrap w:val="0"/>
        <w:jc w:val="center"/>
        <w:rPr>
          <w:bCs/>
          <w:sz w:val="36"/>
          <w:szCs w:val="36"/>
        </w:rPr>
      </w:pPr>
    </w:p>
    <w:p w14:paraId="0719B0C5">
      <w:pPr>
        <w:wordWrap w:val="0"/>
        <w:jc w:val="center"/>
        <w:rPr>
          <w:b/>
          <w:bCs/>
          <w:sz w:val="72"/>
          <w:szCs w:val="72"/>
        </w:rPr>
      </w:pPr>
      <w:r>
        <w:rPr>
          <w:rFonts w:hint="eastAsia"/>
          <w:b/>
          <w:bCs/>
          <w:sz w:val="72"/>
          <w:szCs w:val="72"/>
        </w:rPr>
        <w:t>合   同   书</w:t>
      </w:r>
    </w:p>
    <w:p w14:paraId="15B9271A">
      <w:pPr>
        <w:wordWrap w:val="0"/>
      </w:pPr>
    </w:p>
    <w:p w14:paraId="7310C0D1">
      <w:pPr>
        <w:wordWrap w:val="0"/>
      </w:pPr>
    </w:p>
    <w:p w14:paraId="784EB212">
      <w:pPr>
        <w:wordWrap w:val="0"/>
        <w:rPr>
          <w:sz w:val="28"/>
          <w:szCs w:val="28"/>
        </w:rPr>
      </w:pPr>
    </w:p>
    <w:p w14:paraId="57A7F3B7">
      <w:pPr>
        <w:wordWrap w:val="0"/>
        <w:spacing w:before="78" w:beforeLines="25"/>
        <w:rPr>
          <w:rFonts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14:paraId="5EF10992">
      <w:pPr>
        <w:wordWrap w:val="0"/>
        <w:spacing w:before="78" w:beforeLines="25"/>
        <w:rPr>
          <w:rFonts w:cs="Helvetica"/>
          <w:b/>
          <w:sz w:val="28"/>
          <w:szCs w:val="28"/>
          <w:lang w:val="zh-CN"/>
        </w:rPr>
      </w:pPr>
    </w:p>
    <w:p w14:paraId="611DEAEB">
      <w:pPr>
        <w:wordWrap w:val="0"/>
        <w:spacing w:before="78" w:beforeLines="25"/>
        <w:rPr>
          <w:rFonts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14:paraId="5A81FA03">
      <w:pPr>
        <w:wordWrap w:val="0"/>
        <w:spacing w:before="78" w:beforeLines="25"/>
        <w:rPr>
          <w:rFonts w:cs="Helvetica"/>
          <w:b/>
          <w:sz w:val="28"/>
          <w:szCs w:val="28"/>
          <w:lang w:val="zh-CN"/>
        </w:rPr>
      </w:pPr>
    </w:p>
    <w:p w14:paraId="2A2AE61B">
      <w:pPr>
        <w:wordWrap w:val="0"/>
        <w:spacing w:before="78" w:beforeLines="25"/>
        <w:rPr>
          <w:b/>
          <w:sz w:val="28"/>
          <w:szCs w:val="28"/>
          <w:u w:val="single"/>
        </w:rPr>
      </w:pPr>
      <w:r>
        <w:rPr>
          <w:rFonts w:hint="eastAsia" w:cs="Helvetica"/>
          <w:b/>
          <w:sz w:val="28"/>
          <w:szCs w:val="28"/>
          <w:lang w:val="zh-CN"/>
        </w:rPr>
        <w:t>乙方（成交供应商）：</w:t>
      </w:r>
      <w:r>
        <w:rPr>
          <w:rFonts w:hint="eastAsia"/>
          <w:b/>
          <w:sz w:val="28"/>
          <w:szCs w:val="28"/>
          <w:u w:val="single"/>
        </w:rPr>
        <w:t xml:space="preserve">                                      </w:t>
      </w:r>
    </w:p>
    <w:p w14:paraId="18B9C0B2">
      <w:pPr>
        <w:wordWrap w:val="0"/>
        <w:spacing w:before="78" w:beforeLines="25"/>
        <w:rPr>
          <w:b/>
          <w:sz w:val="28"/>
          <w:szCs w:val="28"/>
          <w:u w:val="single"/>
        </w:rPr>
      </w:pPr>
    </w:p>
    <w:p w14:paraId="6F2765E7">
      <w:pPr>
        <w:wordWrap w:val="0"/>
        <w:spacing w:before="78" w:beforeLines="25"/>
        <w:rPr>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14:paraId="6A4613F0">
      <w:pPr>
        <w:wordWrap w:val="0"/>
        <w:spacing w:before="78" w:beforeLines="25"/>
        <w:rPr>
          <w:u w:val="single"/>
        </w:rPr>
      </w:pPr>
    </w:p>
    <w:p w14:paraId="09CDCAB5">
      <w:pPr>
        <w:wordWrap w:val="0"/>
        <w:spacing w:before="78" w:beforeLines="25"/>
        <w:rPr>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2F0440B3">
      <w:pPr>
        <w:wordWrap w:val="0"/>
        <w:spacing w:before="78" w:beforeLines="25"/>
        <w:rPr>
          <w:b/>
        </w:rPr>
      </w:pPr>
      <w:r>
        <w:rPr>
          <w:rFonts w:hint="eastAsia"/>
          <w:b/>
        </w:rPr>
        <w:t xml:space="preserve">                                                 </w:t>
      </w:r>
    </w:p>
    <w:p w14:paraId="24C0E6DF">
      <w:pPr>
        <w:widowControl/>
        <w:wordWrap w:val="0"/>
        <w:rPr>
          <w:rFonts w:cs="宋体"/>
          <w:szCs w:val="24"/>
        </w:rPr>
      </w:pPr>
      <w:r>
        <w:rPr>
          <w:rFonts w:cs="宋体"/>
          <w:szCs w:val="24"/>
        </w:rPr>
        <w:br w:type="page"/>
      </w:r>
    </w:p>
    <w:p w14:paraId="59E35AA7">
      <w:pPr>
        <w:wordWrap w:val="0"/>
        <w:ind w:firstLine="480" w:firstLineChars="200"/>
        <w:rPr>
          <w:szCs w:val="24"/>
        </w:rPr>
      </w:pPr>
      <w:r>
        <w:rPr>
          <w:rFonts w:hint="eastAsia" w:cs="宋体"/>
          <w:szCs w:val="24"/>
        </w:rPr>
        <w:t>本合同由甲乙双方根据《</w:t>
      </w:r>
      <w:r>
        <w:rPr>
          <w:rFonts w:hint="eastAsia" w:cs="宋体"/>
        </w:rPr>
        <w:t>中华人民共和国</w:t>
      </w:r>
      <w:r>
        <w:rPr>
          <w:rFonts w:hint="eastAsia" w:cs="宋体"/>
          <w:szCs w:val="24"/>
        </w:rPr>
        <w:t>政府采购法》《</w:t>
      </w:r>
      <w:r>
        <w:rPr>
          <w:rFonts w:hint="eastAsia" w:cs="宋体"/>
        </w:rPr>
        <w:t>中华人民共和国</w:t>
      </w:r>
      <w:r>
        <w:rPr>
          <w:rFonts w:hint="eastAsia" w:cs="宋体"/>
          <w:szCs w:val="24"/>
        </w:rPr>
        <w:t>政府采购法实施条例》《</w:t>
      </w:r>
      <w:r>
        <w:rPr>
          <w:rFonts w:cs="宋体"/>
          <w:szCs w:val="24"/>
        </w:rPr>
        <w:t>中华人民共和国民法典</w:t>
      </w:r>
      <w:r>
        <w:rPr>
          <w:rFonts w:hint="eastAsia" w:cs="宋体"/>
          <w:szCs w:val="24"/>
        </w:rPr>
        <w:t>》等相关法律法规规定，按</w:t>
      </w:r>
      <w:r>
        <w:rPr>
          <w:rFonts w:hint="eastAsia"/>
          <w:szCs w:val="24"/>
        </w:rPr>
        <w:t>平等、自愿、诚实信用的原则拟定，</w:t>
      </w:r>
      <w:r>
        <w:rPr>
          <w:rFonts w:hint="eastAsia" w:cs="宋体"/>
        </w:rPr>
        <w:t>甲、乙双方均应遵守法律规定和合同约定，并各自履行应负的全部责任和义务。</w:t>
      </w:r>
      <w:r>
        <w:rPr>
          <w:szCs w:val="24"/>
        </w:rPr>
        <w:t xml:space="preserve"> </w:t>
      </w:r>
    </w:p>
    <w:p w14:paraId="2A5FAEDE">
      <w:pPr>
        <w:pStyle w:val="36"/>
        <w:numPr>
          <w:ilvl w:val="0"/>
          <w:numId w:val="24"/>
        </w:numPr>
        <w:wordWrap w:val="0"/>
        <w:spacing w:before="78" w:beforeLines="25"/>
        <w:ind w:firstLineChars="0"/>
        <w:jc w:val="both"/>
        <w:outlineLvl w:val="1"/>
        <w:rPr>
          <w:rFonts w:cs="Helvetica"/>
          <w:b/>
          <w:szCs w:val="24"/>
          <w:lang w:val="zh-CN"/>
        </w:rPr>
      </w:pPr>
      <w:bookmarkStart w:id="543" w:name="_Toc12976"/>
      <w:r>
        <w:rPr>
          <w:rFonts w:hint="eastAsia" w:cs="Helvetica"/>
          <w:b/>
          <w:szCs w:val="24"/>
          <w:lang w:val="zh-CN"/>
        </w:rPr>
        <w:t>项目基本情况</w:t>
      </w:r>
      <w:bookmarkEnd w:id="543"/>
    </w:p>
    <w:p w14:paraId="6964CF81">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1．项目名称：</w:t>
      </w:r>
      <w:r>
        <w:rPr>
          <w:rFonts w:hint="eastAsia"/>
          <w:u w:val="single"/>
        </w:rPr>
        <w:t xml:space="preserve">         </w:t>
      </w:r>
      <w:r>
        <w:rPr>
          <w:rFonts w:hint="eastAsia" w:cs="Helvetica"/>
          <w:bCs/>
          <w:i/>
          <w:iCs/>
          <w:szCs w:val="24"/>
          <w:u w:val="single"/>
        </w:rPr>
        <w:t>(见磋商文件)</w:t>
      </w:r>
      <w:r>
        <w:rPr>
          <w:rFonts w:hint="eastAsia"/>
          <w:u w:val="single"/>
        </w:rPr>
        <w:t xml:space="preserve">               </w:t>
      </w:r>
    </w:p>
    <w:p w14:paraId="7D91F9C9">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2．项目编号：</w:t>
      </w:r>
      <w:r>
        <w:rPr>
          <w:rFonts w:hint="eastAsia"/>
          <w:u w:val="single"/>
        </w:rPr>
        <w:t xml:space="preserve">          </w:t>
      </w:r>
      <w:r>
        <w:rPr>
          <w:rFonts w:hint="eastAsia" w:cs="Helvetica"/>
          <w:bCs/>
          <w:i/>
          <w:iCs/>
          <w:szCs w:val="24"/>
          <w:u w:val="single"/>
        </w:rPr>
        <w:t>(见磋商文件)</w:t>
      </w:r>
      <w:r>
        <w:rPr>
          <w:rFonts w:hint="eastAsia"/>
          <w:u w:val="single"/>
        </w:rPr>
        <w:t xml:space="preserve">             </w:t>
      </w:r>
    </w:p>
    <w:p w14:paraId="0FB4BC8F">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3．政府采购计划备案号：</w:t>
      </w:r>
      <w:r>
        <w:rPr>
          <w:rFonts w:hint="eastAsia"/>
          <w:u w:val="single"/>
        </w:rPr>
        <w:t xml:space="preserve">  </w:t>
      </w:r>
      <w:r>
        <w:rPr>
          <w:rFonts w:hint="eastAsia" w:cs="Helvetica"/>
          <w:bCs/>
          <w:i/>
          <w:iCs/>
          <w:szCs w:val="24"/>
          <w:u w:val="single"/>
        </w:rPr>
        <w:t>(见磋商文件)</w:t>
      </w:r>
      <w:r>
        <w:rPr>
          <w:rFonts w:hint="eastAsia"/>
          <w:u w:val="single"/>
        </w:rPr>
        <w:t xml:space="preserve">            </w:t>
      </w:r>
    </w:p>
    <w:p w14:paraId="1E8147DB">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lang w:val="zh-CN"/>
        </w:rPr>
      </w:pPr>
      <w:r>
        <w:rPr>
          <w:rFonts w:hint="eastAsia"/>
        </w:rPr>
        <w:t>4．项目概况：</w:t>
      </w:r>
      <w:r>
        <w:rPr>
          <w:rFonts w:hint="eastAsia" w:cs="Helvetica"/>
          <w:szCs w:val="24"/>
          <w:u w:val="single"/>
          <w:lang w:val="zh-CN"/>
        </w:rPr>
        <w:t xml:space="preserve">              </w:t>
      </w:r>
      <w:r>
        <w:rPr>
          <w:rFonts w:hint="eastAsia" w:cs="Helvetica"/>
          <w:bCs/>
          <w:i/>
          <w:iCs/>
          <w:szCs w:val="24"/>
          <w:u w:val="single"/>
        </w:rPr>
        <w:t>(见磋商文件)</w:t>
      </w:r>
      <w:r>
        <w:rPr>
          <w:rFonts w:hint="eastAsia" w:cs="Helvetica"/>
          <w:szCs w:val="24"/>
          <w:u w:val="single"/>
          <w:lang w:val="zh-CN"/>
        </w:rPr>
        <w:t xml:space="preserve">          </w:t>
      </w:r>
      <w:r>
        <w:rPr>
          <w:rFonts w:hint="eastAsia" w:cs="Helvetica"/>
          <w:szCs w:val="24"/>
          <w:lang w:val="zh-CN"/>
        </w:rPr>
        <w:t xml:space="preserve">  </w:t>
      </w:r>
    </w:p>
    <w:p w14:paraId="18F6FFAE">
      <w:pPr>
        <w:pStyle w:val="36"/>
        <w:numPr>
          <w:ilvl w:val="0"/>
          <w:numId w:val="24"/>
        </w:numPr>
        <w:wordWrap w:val="0"/>
        <w:spacing w:before="78" w:beforeLines="25"/>
        <w:ind w:firstLineChars="0"/>
        <w:jc w:val="both"/>
        <w:rPr>
          <w:rFonts w:cs="Helvetica"/>
          <w:bCs/>
          <w:iCs/>
          <w:szCs w:val="24"/>
        </w:rPr>
      </w:pPr>
      <w:r>
        <w:rPr>
          <w:rFonts w:hint="eastAsia" w:cs="Helvetica"/>
          <w:b/>
          <w:szCs w:val="24"/>
          <w:lang w:val="zh-CN"/>
        </w:rPr>
        <w:t>标的名称、数量（规模）</w:t>
      </w:r>
      <w:r>
        <w:rPr>
          <w:rFonts w:hint="eastAsia" w:cs="Helvetica"/>
          <w:i/>
          <w:iCs/>
          <w:szCs w:val="24"/>
        </w:rPr>
        <w:t xml:space="preserve"> </w:t>
      </w:r>
    </w:p>
    <w:tbl>
      <w:tblPr>
        <w:tblStyle w:val="26"/>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7"/>
        <w:gridCol w:w="2095"/>
        <w:gridCol w:w="1063"/>
        <w:gridCol w:w="808"/>
        <w:gridCol w:w="808"/>
        <w:gridCol w:w="848"/>
        <w:gridCol w:w="1300"/>
        <w:gridCol w:w="1071"/>
      </w:tblGrid>
      <w:tr w14:paraId="1582E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themeColor="background2" w:themeShade="BF" w:fill="D0CECE" w:themeFill="background2" w:themeFillShade="E6"/>
            <w:vAlign w:val="center"/>
          </w:tcPr>
          <w:p w14:paraId="5B3EAD2E">
            <w:pPr>
              <w:wordWrap w:val="0"/>
              <w:ind w:left="-120" w:leftChars="-50" w:right="-120" w:rightChars="-50"/>
              <w:jc w:val="center"/>
              <w:rPr>
                <w:rFonts w:cs="宋体"/>
                <w:b/>
              </w:rPr>
            </w:pPr>
            <w:r>
              <w:rPr>
                <w:rFonts w:hint="eastAsia" w:cs="仿宋_GB2312"/>
                <w:b/>
                <w:szCs w:val="24"/>
              </w:rPr>
              <w:t>序号</w:t>
            </w:r>
          </w:p>
        </w:tc>
        <w:tc>
          <w:tcPr>
            <w:tcW w:w="2378" w:type="dxa"/>
            <w:shd w:val="pct10" w:color="AEAAAA" w:themeColor="background2" w:themeShade="BF" w:fill="D0CECE" w:themeFill="background2" w:themeFillShade="E6"/>
            <w:vAlign w:val="center"/>
          </w:tcPr>
          <w:p w14:paraId="70BC01BD">
            <w:pPr>
              <w:wordWrap w:val="0"/>
              <w:ind w:left="-55" w:leftChars="-23" w:right="-74" w:rightChars="-31"/>
              <w:jc w:val="center"/>
              <w:rPr>
                <w:rFonts w:cs="宋体"/>
                <w:b/>
              </w:rPr>
            </w:pPr>
            <w:r>
              <w:rPr>
                <w:rFonts w:hint="eastAsia" w:cs="宋体"/>
                <w:b/>
              </w:rPr>
              <w:t>名称</w:t>
            </w:r>
          </w:p>
        </w:tc>
        <w:tc>
          <w:tcPr>
            <w:tcW w:w="1132" w:type="dxa"/>
            <w:shd w:val="pct10" w:color="AEAAAA" w:themeColor="background2" w:themeShade="BF" w:fill="D0CECE" w:themeFill="background2" w:themeFillShade="E6"/>
            <w:vAlign w:val="center"/>
          </w:tcPr>
          <w:p w14:paraId="205E6887">
            <w:pPr>
              <w:wordWrap w:val="0"/>
              <w:ind w:left="-55" w:leftChars="-23" w:right="-74" w:rightChars="-31"/>
              <w:jc w:val="center"/>
              <w:rPr>
                <w:rFonts w:cs="宋体"/>
                <w:b/>
              </w:rPr>
            </w:pPr>
            <w:r>
              <w:rPr>
                <w:rFonts w:hint="eastAsia"/>
                <w:b/>
              </w:rPr>
              <w:t>品牌规格型号</w:t>
            </w:r>
          </w:p>
        </w:tc>
        <w:tc>
          <w:tcPr>
            <w:tcW w:w="655" w:type="dxa"/>
            <w:tcBorders>
              <w:right w:val="single" w:color="auto" w:sz="4" w:space="0"/>
            </w:tcBorders>
            <w:shd w:val="pct10" w:color="AEAAAA" w:themeColor="background2" w:themeShade="BF" w:fill="D0CECE" w:themeFill="background2" w:themeFillShade="E6"/>
            <w:vAlign w:val="center"/>
          </w:tcPr>
          <w:p w14:paraId="54C9F64D">
            <w:pPr>
              <w:wordWrap w:val="0"/>
              <w:ind w:left="-55" w:leftChars="-23" w:right="-74" w:rightChars="-31"/>
              <w:jc w:val="center"/>
              <w:rPr>
                <w:rFonts w:cs="宋体"/>
                <w:b/>
              </w:rPr>
            </w:pPr>
            <w:r>
              <w:rPr>
                <w:rFonts w:hint="eastAsia" w:cs="宋体"/>
                <w:b/>
              </w:rPr>
              <w:t>数量</w:t>
            </w:r>
          </w:p>
        </w:tc>
        <w:tc>
          <w:tcPr>
            <w:tcW w:w="627" w:type="dxa"/>
            <w:tcBorders>
              <w:left w:val="single" w:color="auto" w:sz="4" w:space="0"/>
            </w:tcBorders>
            <w:shd w:val="pct10" w:color="AEAAAA" w:themeColor="background2" w:themeShade="BF" w:fill="D0CECE" w:themeFill="background2" w:themeFillShade="E6"/>
            <w:vAlign w:val="center"/>
          </w:tcPr>
          <w:p w14:paraId="07E52B86">
            <w:pPr>
              <w:wordWrap w:val="0"/>
              <w:ind w:left="-55" w:leftChars="-23" w:right="-74" w:rightChars="-31"/>
              <w:jc w:val="center"/>
              <w:rPr>
                <w:rFonts w:cs="宋体"/>
                <w:b/>
              </w:rPr>
            </w:pPr>
            <w:r>
              <w:rPr>
                <w:rFonts w:hint="eastAsia" w:cs="宋体"/>
                <w:b/>
              </w:rPr>
              <w:t>单位</w:t>
            </w:r>
          </w:p>
        </w:tc>
        <w:tc>
          <w:tcPr>
            <w:tcW w:w="859" w:type="dxa"/>
            <w:shd w:val="pct10" w:color="AEAAAA" w:themeColor="background2" w:themeShade="BF" w:fill="D0CECE" w:themeFill="background2" w:themeFillShade="E6"/>
            <w:vAlign w:val="center"/>
          </w:tcPr>
          <w:p w14:paraId="4175BF84">
            <w:pPr>
              <w:wordWrap w:val="0"/>
              <w:ind w:left="-55" w:leftChars="-23" w:right="-74" w:rightChars="-31"/>
              <w:jc w:val="center"/>
              <w:rPr>
                <w:rFonts w:cs="宋体"/>
                <w:b/>
              </w:rPr>
            </w:pPr>
            <w:r>
              <w:rPr>
                <w:rFonts w:hint="eastAsia" w:cs="宋体"/>
                <w:b/>
              </w:rPr>
              <w:t>单价</w:t>
            </w:r>
          </w:p>
        </w:tc>
        <w:tc>
          <w:tcPr>
            <w:tcW w:w="1425" w:type="dxa"/>
            <w:shd w:val="pct10" w:color="AEAAAA" w:themeColor="background2" w:themeShade="BF" w:fill="D0CECE" w:themeFill="background2" w:themeFillShade="E6"/>
            <w:vAlign w:val="center"/>
          </w:tcPr>
          <w:p w14:paraId="56485059">
            <w:pPr>
              <w:wordWrap w:val="0"/>
              <w:adjustRightInd w:val="0"/>
              <w:snapToGrid w:val="0"/>
              <w:ind w:left="-26" w:leftChars="-11" w:right="-74" w:rightChars="-31"/>
              <w:jc w:val="center"/>
              <w:rPr>
                <w:rFonts w:cs="宋体"/>
                <w:b/>
              </w:rPr>
            </w:pPr>
            <w:r>
              <w:rPr>
                <w:rFonts w:hint="eastAsia" w:cs="宋体"/>
                <w:b/>
              </w:rPr>
              <w:t>分项合计</w:t>
            </w:r>
          </w:p>
        </w:tc>
        <w:tc>
          <w:tcPr>
            <w:tcW w:w="1134" w:type="dxa"/>
            <w:shd w:val="pct10" w:color="AEAAAA" w:themeColor="background2" w:themeShade="BF" w:fill="D0CECE" w:themeFill="background2" w:themeFillShade="E6"/>
            <w:vAlign w:val="center"/>
          </w:tcPr>
          <w:p w14:paraId="51991ACA">
            <w:pPr>
              <w:wordWrap w:val="0"/>
              <w:ind w:left="-26" w:leftChars="-11" w:right="-74" w:rightChars="-31"/>
              <w:jc w:val="center"/>
              <w:rPr>
                <w:rFonts w:cs="宋体"/>
                <w:b/>
              </w:rPr>
            </w:pPr>
            <w:r>
              <w:rPr>
                <w:rFonts w:hint="eastAsia" w:cs="宋体"/>
                <w:b/>
              </w:rPr>
              <w:t>制造厂家（全称）</w:t>
            </w:r>
          </w:p>
        </w:tc>
      </w:tr>
      <w:tr w14:paraId="221D2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685569C2">
            <w:pPr>
              <w:wordWrap w:val="0"/>
              <w:ind w:left="-55" w:leftChars="-23" w:right="-74" w:rightChars="-31"/>
              <w:jc w:val="center"/>
              <w:rPr>
                <w:b/>
              </w:rPr>
            </w:pPr>
            <w:r>
              <w:rPr>
                <w:rFonts w:hint="eastAsia"/>
                <w:b/>
              </w:rPr>
              <w:t>1</w:t>
            </w:r>
          </w:p>
        </w:tc>
        <w:tc>
          <w:tcPr>
            <w:tcW w:w="2378" w:type="dxa"/>
            <w:shd w:val="clear" w:color="auto" w:fill="auto"/>
            <w:vAlign w:val="center"/>
          </w:tcPr>
          <w:p w14:paraId="3FBCDDFD">
            <w:pPr>
              <w:wordWrap w:val="0"/>
              <w:ind w:left="-55" w:leftChars="-23" w:right="-74" w:rightChars="-31"/>
              <w:jc w:val="center"/>
            </w:pPr>
            <w:r>
              <w:rPr>
                <w:rFonts w:hint="eastAsia"/>
              </w:rPr>
              <w:t>货物（服务）名称1</w:t>
            </w:r>
          </w:p>
        </w:tc>
        <w:tc>
          <w:tcPr>
            <w:tcW w:w="1132" w:type="dxa"/>
            <w:shd w:val="clear" w:color="auto" w:fill="auto"/>
            <w:vAlign w:val="center"/>
          </w:tcPr>
          <w:p w14:paraId="34334507">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14:paraId="6206D83A">
            <w:pPr>
              <w:wordWrap w:val="0"/>
              <w:ind w:left="-55" w:leftChars="-23" w:right="-430" w:rightChars="-179"/>
              <w:jc w:val="center"/>
              <w:rPr>
                <w:rFonts w:cs="宋体"/>
                <w:szCs w:val="24"/>
              </w:rPr>
            </w:pPr>
          </w:p>
        </w:tc>
        <w:tc>
          <w:tcPr>
            <w:tcW w:w="627" w:type="dxa"/>
            <w:tcBorders>
              <w:left w:val="single" w:color="auto" w:sz="4" w:space="0"/>
            </w:tcBorders>
            <w:shd w:val="clear" w:color="auto" w:fill="auto"/>
            <w:vAlign w:val="center"/>
          </w:tcPr>
          <w:p w14:paraId="36127DEA">
            <w:pPr>
              <w:wordWrap w:val="0"/>
              <w:ind w:left="-55" w:leftChars="-23" w:right="-430" w:rightChars="-179"/>
              <w:jc w:val="center"/>
              <w:rPr>
                <w:rFonts w:cs="宋体"/>
                <w:szCs w:val="24"/>
              </w:rPr>
            </w:pPr>
          </w:p>
        </w:tc>
        <w:tc>
          <w:tcPr>
            <w:tcW w:w="859" w:type="dxa"/>
            <w:shd w:val="clear" w:color="auto" w:fill="auto"/>
            <w:vAlign w:val="center"/>
          </w:tcPr>
          <w:p w14:paraId="6912677E">
            <w:pPr>
              <w:wordWrap w:val="0"/>
              <w:ind w:left="-55" w:leftChars="-23" w:right="-74" w:rightChars="-31"/>
              <w:jc w:val="center"/>
              <w:rPr>
                <w:rFonts w:cs="宋体"/>
                <w:szCs w:val="24"/>
              </w:rPr>
            </w:pPr>
          </w:p>
        </w:tc>
        <w:tc>
          <w:tcPr>
            <w:tcW w:w="1425" w:type="dxa"/>
            <w:shd w:val="clear" w:color="auto" w:fill="auto"/>
            <w:vAlign w:val="center"/>
          </w:tcPr>
          <w:p w14:paraId="4A56F4DB">
            <w:pPr>
              <w:wordWrap w:val="0"/>
              <w:ind w:left="-55" w:leftChars="-23" w:right="-74" w:rightChars="-31"/>
              <w:rPr>
                <w:rFonts w:cs="宋体"/>
                <w:szCs w:val="24"/>
              </w:rPr>
            </w:pPr>
          </w:p>
        </w:tc>
        <w:tc>
          <w:tcPr>
            <w:tcW w:w="1134" w:type="dxa"/>
            <w:shd w:val="clear" w:color="auto" w:fill="auto"/>
            <w:vAlign w:val="center"/>
          </w:tcPr>
          <w:p w14:paraId="5035F8C1">
            <w:pPr>
              <w:wordWrap w:val="0"/>
              <w:ind w:left="-55" w:leftChars="-23" w:right="-74" w:rightChars="-31"/>
              <w:jc w:val="center"/>
              <w:rPr>
                <w:rFonts w:cs="宋体"/>
                <w:szCs w:val="24"/>
              </w:rPr>
            </w:pPr>
          </w:p>
        </w:tc>
      </w:tr>
      <w:tr w14:paraId="39D74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7521B7F7">
            <w:pPr>
              <w:wordWrap w:val="0"/>
              <w:ind w:left="-55" w:leftChars="-23" w:right="-74" w:rightChars="-31"/>
              <w:jc w:val="center"/>
              <w:rPr>
                <w:b/>
              </w:rPr>
            </w:pPr>
            <w:r>
              <w:rPr>
                <w:rFonts w:hint="eastAsia"/>
                <w:b/>
              </w:rPr>
              <w:t>2</w:t>
            </w:r>
          </w:p>
        </w:tc>
        <w:tc>
          <w:tcPr>
            <w:tcW w:w="2378" w:type="dxa"/>
            <w:shd w:val="clear" w:color="auto" w:fill="auto"/>
            <w:vAlign w:val="center"/>
          </w:tcPr>
          <w:p w14:paraId="08E4959C">
            <w:pPr>
              <w:wordWrap w:val="0"/>
              <w:ind w:left="-55" w:leftChars="-23" w:right="-74" w:rightChars="-31"/>
              <w:jc w:val="center"/>
            </w:pPr>
            <w:r>
              <w:rPr>
                <w:rFonts w:hint="eastAsia"/>
              </w:rPr>
              <w:t>货物（服务）名称2</w:t>
            </w:r>
          </w:p>
        </w:tc>
        <w:tc>
          <w:tcPr>
            <w:tcW w:w="1132" w:type="dxa"/>
            <w:shd w:val="clear" w:color="auto" w:fill="auto"/>
            <w:vAlign w:val="center"/>
          </w:tcPr>
          <w:p w14:paraId="13B72774">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14:paraId="577DF022">
            <w:pPr>
              <w:wordWrap w:val="0"/>
              <w:ind w:left="-55" w:leftChars="-23" w:right="-74" w:rightChars="-31"/>
              <w:jc w:val="center"/>
              <w:rPr>
                <w:rFonts w:cs="宋体"/>
                <w:szCs w:val="24"/>
              </w:rPr>
            </w:pPr>
          </w:p>
        </w:tc>
        <w:tc>
          <w:tcPr>
            <w:tcW w:w="627" w:type="dxa"/>
            <w:tcBorders>
              <w:left w:val="single" w:color="auto" w:sz="4" w:space="0"/>
            </w:tcBorders>
            <w:shd w:val="clear" w:color="auto" w:fill="auto"/>
            <w:vAlign w:val="center"/>
          </w:tcPr>
          <w:p w14:paraId="64C5D3DB">
            <w:pPr>
              <w:wordWrap w:val="0"/>
              <w:ind w:left="-55" w:leftChars="-23" w:right="-74" w:rightChars="-31"/>
              <w:jc w:val="center"/>
              <w:rPr>
                <w:rFonts w:cs="宋体"/>
                <w:szCs w:val="24"/>
              </w:rPr>
            </w:pPr>
          </w:p>
        </w:tc>
        <w:tc>
          <w:tcPr>
            <w:tcW w:w="859" w:type="dxa"/>
            <w:shd w:val="clear" w:color="auto" w:fill="auto"/>
            <w:vAlign w:val="center"/>
          </w:tcPr>
          <w:p w14:paraId="3ED1A970">
            <w:pPr>
              <w:wordWrap w:val="0"/>
              <w:ind w:left="-55" w:leftChars="-23" w:right="-74" w:rightChars="-31"/>
              <w:jc w:val="center"/>
              <w:rPr>
                <w:rFonts w:cs="宋体"/>
                <w:szCs w:val="24"/>
              </w:rPr>
            </w:pPr>
          </w:p>
        </w:tc>
        <w:tc>
          <w:tcPr>
            <w:tcW w:w="1425" w:type="dxa"/>
            <w:shd w:val="clear" w:color="auto" w:fill="auto"/>
            <w:vAlign w:val="center"/>
          </w:tcPr>
          <w:p w14:paraId="2E3B9A7D">
            <w:pPr>
              <w:wordWrap w:val="0"/>
              <w:ind w:left="-55" w:leftChars="-23" w:right="-74" w:rightChars="-31"/>
              <w:rPr>
                <w:rFonts w:cs="宋体"/>
                <w:szCs w:val="24"/>
              </w:rPr>
            </w:pPr>
          </w:p>
        </w:tc>
        <w:tc>
          <w:tcPr>
            <w:tcW w:w="1134" w:type="dxa"/>
            <w:shd w:val="clear" w:color="auto" w:fill="auto"/>
            <w:vAlign w:val="center"/>
          </w:tcPr>
          <w:p w14:paraId="7570E5BD">
            <w:pPr>
              <w:wordWrap w:val="0"/>
              <w:ind w:left="-55" w:leftChars="-23" w:right="-74" w:rightChars="-31"/>
              <w:jc w:val="center"/>
              <w:rPr>
                <w:rFonts w:cs="宋体"/>
                <w:szCs w:val="24"/>
              </w:rPr>
            </w:pPr>
          </w:p>
        </w:tc>
      </w:tr>
      <w:tr w14:paraId="3FE35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shd w:val="clear" w:color="auto" w:fill="auto"/>
            <w:vAlign w:val="center"/>
          </w:tcPr>
          <w:p w14:paraId="7098384E">
            <w:pPr>
              <w:wordWrap w:val="0"/>
              <w:ind w:left="-55" w:leftChars="-23" w:right="-74" w:rightChars="-31"/>
              <w:jc w:val="center"/>
            </w:pPr>
            <w:r>
              <w:rPr>
                <w:rFonts w:hint="eastAsia"/>
              </w:rPr>
              <w:t>…</w:t>
            </w:r>
          </w:p>
        </w:tc>
        <w:tc>
          <w:tcPr>
            <w:tcW w:w="2378" w:type="dxa"/>
            <w:shd w:val="clear" w:color="auto" w:fill="auto"/>
            <w:vAlign w:val="center"/>
          </w:tcPr>
          <w:p w14:paraId="6857A81E">
            <w:pPr>
              <w:wordWrap w:val="0"/>
              <w:ind w:left="-55" w:leftChars="-23" w:right="-74" w:rightChars="-31"/>
              <w:jc w:val="center"/>
              <w:rPr>
                <w:rFonts w:cs="宋体"/>
                <w:szCs w:val="24"/>
              </w:rPr>
            </w:pPr>
            <w:r>
              <w:rPr>
                <w:rFonts w:hint="eastAsia"/>
              </w:rPr>
              <w:t>……</w:t>
            </w:r>
          </w:p>
        </w:tc>
        <w:tc>
          <w:tcPr>
            <w:tcW w:w="1132" w:type="dxa"/>
            <w:shd w:val="clear" w:color="auto" w:fill="auto"/>
            <w:vAlign w:val="center"/>
          </w:tcPr>
          <w:p w14:paraId="572F733C">
            <w:pPr>
              <w:wordWrap w:val="0"/>
              <w:ind w:left="-55" w:leftChars="-23" w:right="-74" w:rightChars="-31"/>
              <w:rPr>
                <w:rFonts w:cs="宋体"/>
                <w:szCs w:val="24"/>
              </w:rPr>
            </w:pPr>
            <w:r>
              <w:rPr>
                <w:rFonts w:hint="eastAsia"/>
              </w:rPr>
              <w:t>…</w:t>
            </w:r>
          </w:p>
        </w:tc>
        <w:tc>
          <w:tcPr>
            <w:tcW w:w="655" w:type="dxa"/>
            <w:tcBorders>
              <w:right w:val="single" w:color="auto" w:sz="4" w:space="0"/>
            </w:tcBorders>
            <w:shd w:val="clear" w:color="auto" w:fill="auto"/>
            <w:vAlign w:val="center"/>
          </w:tcPr>
          <w:p w14:paraId="0B66E21D">
            <w:pPr>
              <w:wordWrap w:val="0"/>
              <w:ind w:left="-55" w:leftChars="-23" w:right="-74" w:rightChars="-31"/>
              <w:jc w:val="center"/>
              <w:rPr>
                <w:rFonts w:cs="宋体"/>
                <w:szCs w:val="24"/>
              </w:rPr>
            </w:pPr>
            <w:r>
              <w:rPr>
                <w:rFonts w:hint="eastAsia"/>
              </w:rPr>
              <w:t>…</w:t>
            </w:r>
          </w:p>
        </w:tc>
        <w:tc>
          <w:tcPr>
            <w:tcW w:w="627" w:type="dxa"/>
            <w:tcBorders>
              <w:left w:val="single" w:color="auto" w:sz="4" w:space="0"/>
            </w:tcBorders>
            <w:shd w:val="clear" w:color="auto" w:fill="auto"/>
            <w:vAlign w:val="center"/>
          </w:tcPr>
          <w:p w14:paraId="48036841">
            <w:pPr>
              <w:wordWrap w:val="0"/>
              <w:ind w:left="-55" w:leftChars="-23" w:right="-74" w:rightChars="-31"/>
              <w:jc w:val="center"/>
              <w:rPr>
                <w:rFonts w:cs="宋体"/>
                <w:szCs w:val="24"/>
              </w:rPr>
            </w:pPr>
            <w:r>
              <w:rPr>
                <w:rFonts w:hint="eastAsia"/>
              </w:rPr>
              <w:t>…</w:t>
            </w:r>
          </w:p>
        </w:tc>
        <w:tc>
          <w:tcPr>
            <w:tcW w:w="859" w:type="dxa"/>
            <w:shd w:val="clear" w:color="auto" w:fill="auto"/>
            <w:vAlign w:val="center"/>
          </w:tcPr>
          <w:p w14:paraId="2E6165B4">
            <w:pPr>
              <w:wordWrap w:val="0"/>
              <w:ind w:left="-55" w:leftChars="-23" w:right="-74" w:rightChars="-31"/>
              <w:jc w:val="center"/>
              <w:rPr>
                <w:rFonts w:cs="宋体"/>
                <w:szCs w:val="24"/>
              </w:rPr>
            </w:pPr>
            <w:r>
              <w:rPr>
                <w:rFonts w:hint="eastAsia"/>
              </w:rPr>
              <w:t>…</w:t>
            </w:r>
          </w:p>
        </w:tc>
        <w:tc>
          <w:tcPr>
            <w:tcW w:w="1425" w:type="dxa"/>
            <w:shd w:val="clear" w:color="auto" w:fill="auto"/>
            <w:vAlign w:val="center"/>
          </w:tcPr>
          <w:p w14:paraId="352CE16D">
            <w:pPr>
              <w:wordWrap w:val="0"/>
              <w:ind w:left="-55" w:leftChars="-23" w:right="-74" w:rightChars="-31"/>
              <w:rPr>
                <w:rFonts w:cs="宋体"/>
                <w:szCs w:val="24"/>
              </w:rPr>
            </w:pPr>
            <w:r>
              <w:rPr>
                <w:rFonts w:hint="eastAsia"/>
              </w:rPr>
              <w:t>…</w:t>
            </w:r>
          </w:p>
        </w:tc>
        <w:tc>
          <w:tcPr>
            <w:tcW w:w="1134" w:type="dxa"/>
            <w:shd w:val="clear" w:color="auto" w:fill="auto"/>
            <w:vAlign w:val="center"/>
          </w:tcPr>
          <w:p w14:paraId="26B7994D">
            <w:pPr>
              <w:wordWrap w:val="0"/>
              <w:ind w:left="-55" w:leftChars="-23" w:right="-74" w:rightChars="-31"/>
              <w:jc w:val="center"/>
              <w:rPr>
                <w:rFonts w:cs="宋体"/>
                <w:szCs w:val="24"/>
              </w:rPr>
            </w:pPr>
            <w:r>
              <w:rPr>
                <w:rFonts w:hint="eastAsia"/>
              </w:rPr>
              <w:t>…</w:t>
            </w:r>
          </w:p>
        </w:tc>
      </w:tr>
      <w:tr w14:paraId="7DF41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shd w:val="clear" w:color="auto" w:fill="auto"/>
            <w:vAlign w:val="center"/>
          </w:tcPr>
          <w:p w14:paraId="64E07663">
            <w:pPr>
              <w:wordWrap w:val="0"/>
              <w:ind w:left="-55" w:leftChars="-23" w:right="-74" w:rightChars="-31"/>
              <w:jc w:val="center"/>
              <w:rPr>
                <w:rFonts w:cs="宋体"/>
                <w:b/>
                <w:szCs w:val="24"/>
              </w:rPr>
            </w:pPr>
            <w:r>
              <w:rPr>
                <w:rFonts w:hint="eastAsia" w:cs="宋体"/>
                <w:b/>
                <w:szCs w:val="24"/>
              </w:rPr>
              <w:t>合计</w:t>
            </w:r>
          </w:p>
        </w:tc>
        <w:tc>
          <w:tcPr>
            <w:tcW w:w="2559" w:type="dxa"/>
            <w:gridSpan w:val="2"/>
            <w:shd w:val="clear" w:color="auto" w:fill="auto"/>
            <w:vAlign w:val="center"/>
          </w:tcPr>
          <w:p w14:paraId="18E65A88">
            <w:pPr>
              <w:wordWrap w:val="0"/>
              <w:ind w:left="-55" w:leftChars="-23" w:right="-74" w:rightChars="-31"/>
              <w:rPr>
                <w:rFonts w:cs="宋体"/>
                <w:szCs w:val="24"/>
              </w:rPr>
            </w:pPr>
          </w:p>
        </w:tc>
      </w:tr>
    </w:tbl>
    <w:p w14:paraId="11DB586D">
      <w:pPr>
        <w:pStyle w:val="36"/>
        <w:numPr>
          <w:ilvl w:val="0"/>
          <w:numId w:val="24"/>
        </w:numPr>
        <w:wordWrap w:val="0"/>
        <w:spacing w:before="78" w:beforeLines="25"/>
        <w:ind w:firstLineChars="0"/>
        <w:jc w:val="both"/>
        <w:rPr>
          <w:rFonts w:cs="Helvetica"/>
          <w:bCs/>
          <w:szCs w:val="24"/>
          <w:lang w:val="zh-CN"/>
        </w:rPr>
      </w:pPr>
      <w:r>
        <w:rPr>
          <w:rFonts w:hint="eastAsia" w:cs="Helvetica"/>
          <w:b/>
          <w:szCs w:val="24"/>
          <w:lang w:val="zh-CN"/>
        </w:rPr>
        <w:t>货物（服务）质量</w:t>
      </w:r>
    </w:p>
    <w:p w14:paraId="34EE6C9B">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iCs/>
          <w:szCs w:val="24"/>
          <w:lang w:val="zh-CN"/>
        </w:rPr>
      </w:pPr>
      <w:r>
        <w:rPr>
          <w:rFonts w:hint="eastAsia" w:cs="Helvetica"/>
          <w:i/>
          <w:iCs/>
          <w:szCs w:val="24"/>
        </w:rPr>
        <w:t xml:space="preserve"> </w:t>
      </w:r>
      <w:r>
        <w:rPr>
          <w:rFonts w:hint="eastAsia" w:cs="Helvetica"/>
          <w:iCs/>
          <w:szCs w:val="24"/>
          <w:u w:val="single"/>
        </w:rPr>
        <w:t xml:space="preserve">          </w:t>
      </w:r>
      <w:r>
        <w:rPr>
          <w:rFonts w:hint="eastAsia" w:cs="Helvetica"/>
          <w:i/>
          <w:iCs/>
          <w:szCs w:val="24"/>
          <w:u w:val="single"/>
        </w:rPr>
        <w:t>(以磋商文件要求以及响应文件的响应)</w:t>
      </w:r>
      <w:r>
        <w:rPr>
          <w:rFonts w:hint="eastAsia" w:cs="Helvetica"/>
          <w:iCs/>
          <w:szCs w:val="24"/>
          <w:u w:val="single"/>
        </w:rPr>
        <w:t xml:space="preserve">                    </w:t>
      </w:r>
      <w:r>
        <w:rPr>
          <w:rFonts w:hint="eastAsia" w:cs="Helvetica"/>
          <w:iCs/>
          <w:szCs w:val="24"/>
        </w:rPr>
        <w:t xml:space="preserve">。  </w:t>
      </w:r>
    </w:p>
    <w:p w14:paraId="24A7A2D6">
      <w:pPr>
        <w:pStyle w:val="36"/>
        <w:numPr>
          <w:ilvl w:val="0"/>
          <w:numId w:val="24"/>
        </w:numPr>
        <w:wordWrap w:val="0"/>
        <w:spacing w:before="78" w:beforeLines="25"/>
        <w:ind w:firstLineChars="0"/>
        <w:jc w:val="both"/>
        <w:outlineLvl w:val="1"/>
        <w:rPr>
          <w:rFonts w:cs="Helvetica"/>
          <w:bCs/>
          <w:szCs w:val="24"/>
          <w:lang w:val="zh-CN"/>
        </w:rPr>
      </w:pPr>
      <w:bookmarkStart w:id="544" w:name="_Toc2969"/>
      <w:r>
        <w:rPr>
          <w:rFonts w:hint="eastAsia" w:cs="Helvetica"/>
          <w:b/>
          <w:szCs w:val="24"/>
          <w:lang w:val="zh-CN"/>
        </w:rPr>
        <w:t>合同履行时间（期限）、地点和方式</w:t>
      </w:r>
      <w:bookmarkEnd w:id="544"/>
    </w:p>
    <w:p w14:paraId="24FC9416">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1．合同履行时间：</w:t>
      </w:r>
      <w:r>
        <w:rPr>
          <w:rFonts w:hint="eastAsia"/>
          <w:lang w:val="zh-CN"/>
        </w:rPr>
        <w:t>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72D1E9E2">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2．交付或服务地点及方式：</w:t>
      </w:r>
      <w:r>
        <w:rPr>
          <w:rFonts w:hint="eastAsia" w:cs="宋体"/>
          <w:szCs w:val="24"/>
          <w:u w:val="single"/>
        </w:rPr>
        <w:t xml:space="preserve">      </w:t>
      </w:r>
      <w:r>
        <w:rPr>
          <w:rFonts w:hint="eastAsia" w:cs="宋体"/>
          <w:i/>
          <w:szCs w:val="24"/>
          <w:u w:val="single"/>
        </w:rPr>
        <w:t xml:space="preserve"> (见磋商文件)</w:t>
      </w:r>
      <w:r>
        <w:rPr>
          <w:rFonts w:hint="eastAsia" w:cs="宋体"/>
          <w:szCs w:val="24"/>
          <w:u w:val="single"/>
        </w:rPr>
        <w:t xml:space="preserve">                     </w:t>
      </w:r>
      <w:r>
        <w:rPr>
          <w:rFonts w:hint="eastAsia"/>
          <w:i/>
        </w:rPr>
        <w:t>。</w:t>
      </w:r>
    </w:p>
    <w:p w14:paraId="731073BB">
      <w:pPr>
        <w:pStyle w:val="36"/>
        <w:numPr>
          <w:ilvl w:val="0"/>
          <w:numId w:val="24"/>
        </w:numPr>
        <w:wordWrap w:val="0"/>
        <w:spacing w:before="78" w:beforeLines="25"/>
        <w:ind w:firstLineChars="0"/>
        <w:jc w:val="both"/>
        <w:outlineLvl w:val="1"/>
        <w:rPr>
          <w:rFonts w:cs="Helvetica"/>
          <w:bCs/>
          <w:szCs w:val="24"/>
          <w:lang w:val="zh-CN"/>
        </w:rPr>
      </w:pPr>
      <w:bookmarkStart w:id="545" w:name="_Toc29251"/>
      <w:r>
        <w:rPr>
          <w:rFonts w:hint="eastAsia"/>
          <w:b/>
          <w:iCs/>
          <w:szCs w:val="24"/>
        </w:rPr>
        <w:t>包装及运输</w:t>
      </w:r>
      <w:bookmarkEnd w:id="545"/>
    </w:p>
    <w:p w14:paraId="4E8E3902">
      <w:pPr>
        <w:numPr>
          <w:ilvl w:val="255"/>
          <w:numId w:val="0"/>
        </w:numPr>
        <w:tabs>
          <w:tab w:val="left" w:pos="980"/>
        </w:tabs>
        <w:wordWrap w:val="0"/>
        <w:autoSpaceDE w:val="0"/>
        <w:autoSpaceDN w:val="0"/>
        <w:spacing w:before="78" w:beforeLines="25"/>
        <w:ind w:left="547" w:leftChars="228" w:firstLine="600" w:firstLineChars="250"/>
        <w:contextualSpacing/>
        <w:rPr>
          <w:rFonts w:cs="宋体"/>
          <w:szCs w:val="24"/>
        </w:rPr>
      </w:pPr>
      <w:r>
        <w:rPr>
          <w:rFonts w:hint="eastAsia" w:cs="宋体"/>
          <w:szCs w:val="24"/>
          <w:u w:val="single"/>
        </w:rPr>
        <w:t xml:space="preserve">                               </w:t>
      </w:r>
      <w:r>
        <w:rPr>
          <w:rFonts w:hint="eastAsia" w:cs="宋体"/>
          <w:i/>
          <w:szCs w:val="24"/>
          <w:u w:val="single"/>
        </w:rPr>
        <w:t>(见磋商文件)</w:t>
      </w:r>
      <w:r>
        <w:rPr>
          <w:rFonts w:hint="eastAsia" w:cs="宋体"/>
          <w:szCs w:val="24"/>
          <w:u w:val="single"/>
        </w:rPr>
        <w:t xml:space="preserve">                      </w:t>
      </w:r>
      <w:r>
        <w:rPr>
          <w:rFonts w:hint="eastAsia" w:cs="宋体"/>
          <w:szCs w:val="24"/>
        </w:rPr>
        <w:t>。</w:t>
      </w:r>
    </w:p>
    <w:p w14:paraId="4218737A">
      <w:pPr>
        <w:pStyle w:val="36"/>
        <w:numPr>
          <w:ilvl w:val="0"/>
          <w:numId w:val="24"/>
        </w:numPr>
        <w:wordWrap w:val="0"/>
        <w:spacing w:before="78" w:beforeLines="25"/>
        <w:ind w:firstLineChars="0"/>
        <w:jc w:val="both"/>
        <w:outlineLvl w:val="1"/>
        <w:rPr>
          <w:rFonts w:cs="Helvetica"/>
          <w:bCs/>
          <w:szCs w:val="24"/>
          <w:lang w:val="zh-CN"/>
        </w:rPr>
      </w:pPr>
      <w:bookmarkStart w:id="546" w:name="_Toc20553"/>
      <w:r>
        <w:rPr>
          <w:rFonts w:hint="eastAsia" w:cs="Helvetica"/>
          <w:b/>
          <w:szCs w:val="24"/>
          <w:lang w:val="zh-CN"/>
        </w:rPr>
        <w:t>合同价款</w:t>
      </w:r>
      <w:bookmarkEnd w:id="546"/>
      <w:r>
        <w:rPr>
          <w:rFonts w:hint="eastAsia" w:cs="Helvetica"/>
          <w:b/>
          <w:szCs w:val="24"/>
          <w:lang w:val="zh-CN"/>
        </w:rPr>
        <w:t xml:space="preserve">  </w:t>
      </w:r>
    </w:p>
    <w:p w14:paraId="175AC4EB">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rPr>
      </w:pPr>
      <w:r>
        <w:rPr>
          <w:rFonts w:hint="eastAsia" w:cs="Helvetica"/>
          <w:szCs w:val="24"/>
          <w:lang w:val="zh-CN"/>
        </w:rPr>
        <w:t>1．本合同金额为（大写）：人民币</w:t>
      </w:r>
      <w:r>
        <w:rPr>
          <w:rFonts w:hint="eastAsia" w:cs="Helvetica"/>
          <w:szCs w:val="24"/>
          <w:u w:val="single"/>
        </w:rPr>
        <w:t xml:space="preserve">      </w:t>
      </w:r>
      <w:r>
        <w:rPr>
          <w:rFonts w:hint="eastAsia" w:cs="Helvetica"/>
          <w:bCs/>
          <w:i/>
          <w:iCs/>
          <w:szCs w:val="24"/>
          <w:u w:val="single"/>
        </w:rPr>
        <w:t>(见磋商文件)</w:t>
      </w:r>
      <w:r>
        <w:rPr>
          <w:rFonts w:hint="eastAsia" w:cs="Helvetica"/>
          <w:szCs w:val="24"/>
          <w:u w:val="single"/>
        </w:rPr>
        <w:t xml:space="preserve">   </w:t>
      </w:r>
      <w:r>
        <w:rPr>
          <w:rFonts w:hint="eastAsia" w:cs="Helvetica"/>
          <w:szCs w:val="24"/>
        </w:rPr>
        <w:t>元（</w:t>
      </w:r>
      <w:r>
        <w:rPr>
          <w:rFonts w:cs="Arial"/>
          <w:szCs w:val="24"/>
        </w:rPr>
        <w:t>¥</w:t>
      </w:r>
      <w:r>
        <w:rPr>
          <w:rFonts w:hint="eastAsia" w:cs="Helvetica"/>
          <w:szCs w:val="24"/>
        </w:rPr>
        <w:t>：</w:t>
      </w:r>
      <w:r>
        <w:rPr>
          <w:rFonts w:hint="eastAsia" w:cs="Helvetica"/>
          <w:szCs w:val="24"/>
          <w:u w:val="single"/>
        </w:rPr>
        <w:t xml:space="preserve">          </w:t>
      </w:r>
      <w:r>
        <w:rPr>
          <w:rFonts w:hint="eastAsia" w:cs="Helvetica"/>
          <w:szCs w:val="24"/>
        </w:rPr>
        <w:t>）；</w:t>
      </w:r>
    </w:p>
    <w:p w14:paraId="0C9FF849">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Helvetica"/>
          <w:szCs w:val="24"/>
        </w:rPr>
        <w:t>2．合同金额包括乙方</w:t>
      </w:r>
      <w:r>
        <w:rPr>
          <w:rFonts w:hint="eastAsia" w:cs="宋体"/>
          <w:szCs w:val="24"/>
        </w:rPr>
        <w:t>完成本合同约定的全部工作可能发生的所有费用（含市场变化等可能发生的费用），即总报价为“交钥匙”价</w:t>
      </w:r>
      <w:r>
        <w:rPr>
          <w:rFonts w:hint="eastAsia" w:cs="宋体"/>
          <w:szCs w:val="24"/>
          <w:lang w:val="zh-CN"/>
        </w:rPr>
        <w:t>。</w:t>
      </w:r>
      <w:r>
        <w:rPr>
          <w:rFonts w:hint="eastAsia" w:cs="宋体"/>
          <w:szCs w:val="24"/>
        </w:rPr>
        <w:t>甲方在支付此金额后，不再因本合同支付任何其它费用；</w:t>
      </w:r>
    </w:p>
    <w:p w14:paraId="53A4DC10">
      <w:pPr>
        <w:numPr>
          <w:ilvl w:val="255"/>
          <w:numId w:val="0"/>
        </w:numPr>
        <w:tabs>
          <w:tab w:val="left" w:pos="980"/>
        </w:tabs>
        <w:wordWrap w:val="0"/>
        <w:autoSpaceDE w:val="0"/>
        <w:autoSpaceDN w:val="0"/>
        <w:spacing w:before="78" w:beforeLines="25"/>
        <w:ind w:left="547" w:leftChars="228" w:firstLine="480" w:firstLineChars="200"/>
        <w:contextualSpacing/>
        <w:rPr>
          <w:u w:val="single"/>
        </w:rPr>
      </w:pPr>
      <w:r>
        <w:rPr>
          <w:rFonts w:hint="eastAsia" w:cs="Helvetica"/>
          <w:szCs w:val="24"/>
        </w:rPr>
        <w:t>3．</w:t>
      </w:r>
      <w:r>
        <w:rPr>
          <w:rFonts w:hint="eastAsia" w:cs="宋体"/>
          <w:szCs w:val="24"/>
          <w:u w:val="single"/>
        </w:rPr>
        <w:t xml:space="preserve">                                                             </w:t>
      </w:r>
      <w:r>
        <w:rPr>
          <w:rFonts w:hint="eastAsia" w:cs="宋体"/>
          <w:szCs w:val="24"/>
        </w:rPr>
        <w:t xml:space="preserve"> 。</w:t>
      </w:r>
    </w:p>
    <w:p w14:paraId="7AE7325A">
      <w:pPr>
        <w:pStyle w:val="36"/>
        <w:numPr>
          <w:ilvl w:val="0"/>
          <w:numId w:val="24"/>
        </w:numPr>
        <w:wordWrap w:val="0"/>
        <w:spacing w:before="78" w:beforeLines="25"/>
        <w:ind w:firstLineChars="0"/>
        <w:jc w:val="both"/>
        <w:outlineLvl w:val="1"/>
        <w:rPr>
          <w:rFonts w:hint="eastAsia" w:eastAsia="宋体" w:cs="Helvetica"/>
          <w:bCs/>
          <w:i w:val="0"/>
          <w:iCs w:val="0"/>
          <w:color w:val="0000FF"/>
          <w:szCs w:val="24"/>
          <w:u w:val="single"/>
          <w:lang w:eastAsia="zh-CN"/>
        </w:rPr>
      </w:pPr>
      <w:bookmarkStart w:id="547" w:name="_Toc3480"/>
      <w:r>
        <w:rPr>
          <w:rFonts w:hint="eastAsia" w:cs="Helvetica"/>
          <w:b/>
          <w:color w:val="auto"/>
          <w:szCs w:val="24"/>
          <w:lang w:val="zh-CN"/>
        </w:rPr>
        <w:t>资金支付方式及安排</w:t>
      </w:r>
      <w:bookmarkEnd w:id="547"/>
    </w:p>
    <w:p w14:paraId="5E8DCE31">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iCs/>
          <w:color w:val="auto"/>
          <w:szCs w:val="24"/>
          <w:u w:val="single"/>
        </w:rPr>
      </w:pPr>
      <w:r>
        <w:rPr>
          <w:rFonts w:hint="eastAsia" w:cs="Helvetica"/>
          <w:bCs/>
          <w:i w:val="0"/>
          <w:iCs w:val="0"/>
          <w:color w:val="0000FF"/>
          <w:szCs w:val="24"/>
          <w:u w:val="single"/>
          <w:lang w:val="en-US" w:eastAsia="zh-CN"/>
        </w:rPr>
        <w:t xml:space="preserve"> </w:t>
      </w:r>
      <w:r>
        <w:rPr>
          <w:rFonts w:hint="eastAsia" w:cs="Helvetica"/>
          <w:bCs/>
          <w:iCs/>
          <w:color w:val="auto"/>
          <w:szCs w:val="24"/>
          <w:u w:val="single"/>
        </w:rPr>
        <w:t xml:space="preserve">  </w:t>
      </w:r>
      <w:r>
        <w:rPr>
          <w:rFonts w:hint="eastAsia" w:cs="Helvetica"/>
          <w:bCs/>
          <w:iCs/>
          <w:color w:val="auto"/>
          <w:szCs w:val="24"/>
          <w:u w:val="single"/>
          <w:lang w:val="en-US" w:eastAsia="zh-CN"/>
        </w:rPr>
        <w:t xml:space="preserve">                                                     </w:t>
      </w:r>
      <w:r>
        <w:rPr>
          <w:rFonts w:hint="eastAsia" w:cs="Helvetica"/>
          <w:bCs/>
          <w:iCs/>
          <w:color w:val="auto"/>
          <w:szCs w:val="24"/>
          <w:u w:val="single"/>
        </w:rPr>
        <w:t xml:space="preserve">  </w:t>
      </w:r>
    </w:p>
    <w:p w14:paraId="745ACC6B">
      <w:pPr>
        <w:pStyle w:val="36"/>
        <w:numPr>
          <w:ilvl w:val="0"/>
          <w:numId w:val="24"/>
        </w:numPr>
        <w:wordWrap w:val="0"/>
        <w:spacing w:before="78" w:beforeLines="25"/>
        <w:ind w:firstLineChars="0"/>
        <w:jc w:val="both"/>
        <w:outlineLvl w:val="1"/>
        <w:rPr>
          <w:rFonts w:cs="Helvetica"/>
          <w:b/>
          <w:color w:val="auto"/>
          <w:szCs w:val="24"/>
          <w:lang w:val="zh-CN"/>
        </w:rPr>
      </w:pPr>
      <w:bookmarkStart w:id="548" w:name="_Toc26420"/>
      <w:r>
        <w:rPr>
          <w:rFonts w:hint="eastAsia" w:cs="Helvetica"/>
          <w:b/>
          <w:color w:val="auto"/>
          <w:szCs w:val="24"/>
          <w:lang w:val="zh-CN"/>
        </w:rPr>
        <w:t>交付标准、方法和验收方案</w:t>
      </w:r>
      <w:bookmarkEnd w:id="548"/>
    </w:p>
    <w:p w14:paraId="76E6696E">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Helvetica"/>
          <w:bCs/>
          <w:szCs w:val="24"/>
          <w:lang w:val="zh-CN"/>
        </w:rPr>
        <w:t>交付标准、方法：</w:t>
      </w:r>
      <w:r>
        <w:rPr>
          <w:rFonts w:hint="eastAsia" w:cs="Helvetica"/>
          <w:bCs/>
          <w:szCs w:val="24"/>
          <w:u w:val="single"/>
          <w:lang w:val="zh-CN"/>
        </w:rPr>
        <w:t xml:space="preserve">        </w:t>
      </w:r>
      <w:r>
        <w:rPr>
          <w:rFonts w:hint="eastAsia" w:cs="Helvetica"/>
          <w:bCs/>
          <w:i/>
          <w:iCs/>
          <w:szCs w:val="24"/>
          <w:u w:val="single"/>
        </w:rPr>
        <w:t>(见磋商文件)</w:t>
      </w:r>
      <w:r>
        <w:rPr>
          <w:rFonts w:hint="eastAsia" w:cs="Helvetica"/>
          <w:bCs/>
          <w:szCs w:val="24"/>
          <w:u w:val="single"/>
          <w:lang w:val="zh-CN"/>
        </w:rPr>
        <w:t xml:space="preserve">                   </w:t>
      </w:r>
      <w:r>
        <w:rPr>
          <w:rFonts w:hint="eastAsia" w:cs="Helvetica"/>
          <w:bCs/>
          <w:szCs w:val="24"/>
          <w:lang w:val="zh-CN"/>
        </w:rPr>
        <w:t>；</w:t>
      </w:r>
    </w:p>
    <w:p w14:paraId="7052F67A">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lang w:val="zh-CN"/>
        </w:rPr>
        <w:t>验收方案：</w:t>
      </w:r>
      <w:r>
        <w:rPr>
          <w:rFonts w:hint="eastAsia" w:cs="Helvetica"/>
          <w:bCs/>
          <w:szCs w:val="24"/>
          <w:u w:val="single"/>
        </w:rPr>
        <w:t xml:space="preserve"> </w:t>
      </w:r>
      <w:r>
        <w:rPr>
          <w:rFonts w:hint="eastAsia" w:cs="Helvetica"/>
          <w:bCs/>
          <w:iCs/>
          <w:szCs w:val="24"/>
          <w:u w:val="single"/>
        </w:rPr>
        <w:t xml:space="preserve">           </w:t>
      </w:r>
      <w:r>
        <w:rPr>
          <w:rFonts w:hint="eastAsia" w:cs="Helvetica"/>
          <w:bCs/>
          <w:i/>
          <w:iCs/>
          <w:szCs w:val="24"/>
          <w:u w:val="single"/>
        </w:rPr>
        <w:t>(见磋商文件)</w:t>
      </w:r>
      <w:r>
        <w:rPr>
          <w:rFonts w:hint="eastAsia" w:cs="Helvetica"/>
          <w:bCs/>
          <w:iCs/>
          <w:szCs w:val="24"/>
          <w:u w:val="single"/>
        </w:rPr>
        <w:t xml:space="preserve">           </w:t>
      </w:r>
      <w:r>
        <w:rPr>
          <w:rFonts w:cs="Helvetica"/>
          <w:bCs/>
          <w:iCs/>
          <w:szCs w:val="24"/>
          <w:u w:val="single"/>
        </w:rPr>
        <w:t xml:space="preserve"> </w:t>
      </w:r>
      <w:r>
        <w:rPr>
          <w:rFonts w:hint="eastAsia" w:cs="Helvetica"/>
          <w:bCs/>
          <w:iCs/>
          <w:szCs w:val="24"/>
          <w:u w:val="single"/>
        </w:rPr>
        <w:t xml:space="preserve">         </w:t>
      </w:r>
      <w:r>
        <w:rPr>
          <w:rFonts w:hint="eastAsia" w:cs="Helvetica"/>
          <w:bCs/>
          <w:iCs/>
          <w:szCs w:val="24"/>
        </w:rPr>
        <w:t>。</w:t>
      </w:r>
    </w:p>
    <w:p w14:paraId="43FFCFA4">
      <w:pPr>
        <w:pStyle w:val="36"/>
        <w:numPr>
          <w:ilvl w:val="0"/>
          <w:numId w:val="24"/>
        </w:numPr>
        <w:wordWrap w:val="0"/>
        <w:spacing w:before="78" w:beforeLines="25"/>
        <w:ind w:firstLineChars="0"/>
        <w:jc w:val="both"/>
        <w:outlineLvl w:val="1"/>
        <w:rPr>
          <w:rFonts w:cs="Helvetica"/>
          <w:szCs w:val="24"/>
          <w:lang w:val="zh-CN"/>
        </w:rPr>
      </w:pPr>
      <w:bookmarkStart w:id="549" w:name="_Toc7862"/>
      <w:r>
        <w:rPr>
          <w:rFonts w:hint="eastAsia" w:cs="Helvetica"/>
          <w:b/>
          <w:szCs w:val="24"/>
          <w:lang w:val="zh-CN"/>
        </w:rPr>
        <w:t>质保（服务）期及质保（服务）范围和要求</w:t>
      </w:r>
      <w:bookmarkEnd w:id="549"/>
    </w:p>
    <w:p w14:paraId="46A27BEE">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u w:val="single"/>
        </w:rPr>
      </w:pPr>
      <w:r>
        <w:rPr>
          <w:rFonts w:hint="eastAsia" w:cs="宋体"/>
          <w:szCs w:val="24"/>
        </w:rPr>
        <w:t>1．质保（服务)期：</w:t>
      </w:r>
      <w:r>
        <w:rPr>
          <w:rFonts w:hint="eastAsia" w:cs="Helvetica"/>
          <w:i/>
          <w:iCs/>
          <w:szCs w:val="24"/>
          <w:u w:val="single"/>
        </w:rPr>
        <w:t xml:space="preserve">            </w:t>
      </w:r>
      <w:r>
        <w:rPr>
          <w:rFonts w:hint="eastAsia" w:cs="Helvetica"/>
          <w:bCs/>
          <w:i/>
          <w:iCs/>
          <w:szCs w:val="24"/>
          <w:u w:val="single"/>
        </w:rPr>
        <w:t>(见磋商文件)</w:t>
      </w:r>
      <w:r>
        <w:rPr>
          <w:rFonts w:hint="eastAsia" w:cs="Helvetica"/>
          <w:i/>
          <w:iCs/>
          <w:szCs w:val="24"/>
          <w:u w:val="single"/>
        </w:rPr>
        <w:t xml:space="preserve">             </w:t>
      </w:r>
      <w:r>
        <w:rPr>
          <w:rFonts w:hint="eastAsia" w:cs="Helvetica"/>
          <w:i/>
          <w:szCs w:val="24"/>
          <w:u w:val="single"/>
        </w:rPr>
        <w:t xml:space="preserve">   </w:t>
      </w:r>
      <w:r>
        <w:rPr>
          <w:rFonts w:hint="eastAsia" w:cs="Helvetica"/>
          <w:i/>
          <w:szCs w:val="24"/>
        </w:rPr>
        <w:t>；</w:t>
      </w:r>
    </w:p>
    <w:p w14:paraId="57E98EEA">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2．质保（服务）范围：</w:t>
      </w:r>
      <w:r>
        <w:rPr>
          <w:rFonts w:hint="eastAsia" w:cs="Helvetica"/>
          <w:i/>
          <w:iCs/>
          <w:szCs w:val="24"/>
          <w:u w:val="single"/>
        </w:rPr>
        <w:t xml:space="preserve">          </w:t>
      </w:r>
      <w:r>
        <w:rPr>
          <w:rFonts w:hint="eastAsia" w:cs="Helvetica"/>
          <w:bCs/>
          <w:i/>
          <w:iCs/>
          <w:szCs w:val="24"/>
          <w:u w:val="single"/>
        </w:rPr>
        <w:t>(见磋商文件)</w:t>
      </w:r>
      <w:r>
        <w:rPr>
          <w:rFonts w:hint="eastAsia" w:cs="Helvetica"/>
          <w:i/>
          <w:iCs/>
          <w:szCs w:val="24"/>
          <w:u w:val="single"/>
        </w:rPr>
        <w:t xml:space="preserve">               </w:t>
      </w:r>
      <w:r>
        <w:rPr>
          <w:rFonts w:hint="eastAsia" w:cs="Helvetica"/>
          <w:i/>
          <w:szCs w:val="24"/>
          <w:lang w:val="zh-CN"/>
        </w:rPr>
        <w:t>；</w:t>
      </w:r>
    </w:p>
    <w:p w14:paraId="3C715178">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3．质保（服务）要求：</w:t>
      </w:r>
      <w:r>
        <w:rPr>
          <w:rFonts w:hint="eastAsia" w:cs="Helvetica"/>
          <w:i/>
          <w:iCs/>
          <w:szCs w:val="24"/>
          <w:u w:val="single"/>
        </w:rPr>
        <w:t xml:space="preserve">          </w:t>
      </w:r>
      <w:r>
        <w:rPr>
          <w:rFonts w:hint="eastAsia" w:cs="Helvetica"/>
          <w:bCs/>
          <w:i/>
          <w:iCs/>
          <w:szCs w:val="24"/>
          <w:u w:val="single"/>
        </w:rPr>
        <w:t>(见磋商文件)</w:t>
      </w:r>
      <w:r>
        <w:rPr>
          <w:rFonts w:hint="eastAsia" w:cs="Helvetica"/>
          <w:i/>
          <w:iCs/>
          <w:szCs w:val="24"/>
          <w:u w:val="single"/>
        </w:rPr>
        <w:t xml:space="preserve">             </w:t>
      </w:r>
      <w:r>
        <w:rPr>
          <w:rFonts w:hint="eastAsia" w:cs="Helvetica"/>
          <w:i/>
          <w:szCs w:val="24"/>
          <w:lang w:val="zh-CN"/>
        </w:rPr>
        <w:t>。</w:t>
      </w:r>
    </w:p>
    <w:p w14:paraId="2AB04C9F">
      <w:pPr>
        <w:pStyle w:val="36"/>
        <w:numPr>
          <w:ilvl w:val="0"/>
          <w:numId w:val="24"/>
        </w:numPr>
        <w:wordWrap w:val="0"/>
        <w:spacing w:before="78" w:beforeLines="25"/>
        <w:ind w:firstLineChars="0"/>
        <w:jc w:val="both"/>
        <w:outlineLvl w:val="1"/>
        <w:rPr>
          <w:rFonts w:cs="Helvetica"/>
          <w:bCs/>
          <w:szCs w:val="24"/>
          <w:lang w:val="zh-CN"/>
        </w:rPr>
      </w:pPr>
      <w:bookmarkStart w:id="550" w:name="_Toc810"/>
      <w:r>
        <w:rPr>
          <w:rFonts w:hint="eastAsia" w:cs="Helvetica"/>
          <w:b/>
          <w:bCs/>
          <w:szCs w:val="24"/>
          <w:lang w:val="zh-CN"/>
        </w:rPr>
        <w:t>项目培训</w:t>
      </w:r>
      <w:bookmarkEnd w:id="550"/>
    </w:p>
    <w:p w14:paraId="2CDA50F4">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cs="Helvetica"/>
          <w:bCs/>
          <w:szCs w:val="24"/>
          <w:u w:val="single"/>
        </w:rPr>
        <w:t xml:space="preserve">     </w:t>
      </w:r>
      <w:r>
        <w:rPr>
          <w:rFonts w:hint="eastAsia" w:cs="Helvetica"/>
          <w:bCs/>
          <w:i/>
          <w:iCs/>
          <w:szCs w:val="24"/>
          <w:u w:val="single"/>
        </w:rPr>
        <w:t>(见磋商文件)</w:t>
      </w:r>
      <w:r>
        <w:rPr>
          <w:rFonts w:hint="eastAsia" w:cs="Helvetica"/>
          <w:bCs/>
          <w:szCs w:val="24"/>
          <w:u w:val="single"/>
        </w:rPr>
        <w:t xml:space="preserve">                      </w:t>
      </w:r>
      <w:r>
        <w:rPr>
          <w:rFonts w:hint="eastAsia" w:cs="Helvetica"/>
          <w:bCs/>
          <w:szCs w:val="24"/>
        </w:rPr>
        <w:t>。</w:t>
      </w:r>
    </w:p>
    <w:p w14:paraId="41AB8F6D">
      <w:pPr>
        <w:pStyle w:val="36"/>
        <w:numPr>
          <w:ilvl w:val="0"/>
          <w:numId w:val="24"/>
        </w:numPr>
        <w:wordWrap w:val="0"/>
        <w:spacing w:before="78" w:beforeLines="25"/>
        <w:ind w:firstLineChars="0"/>
        <w:jc w:val="both"/>
        <w:outlineLvl w:val="1"/>
        <w:rPr>
          <w:rFonts w:cs="Helvetica"/>
          <w:bCs/>
          <w:i/>
          <w:iCs/>
          <w:szCs w:val="24"/>
          <w:lang w:val="zh-CN"/>
        </w:rPr>
      </w:pPr>
      <w:bookmarkStart w:id="551" w:name="_Toc536"/>
      <w:r>
        <w:rPr>
          <w:rFonts w:hint="eastAsia" w:cs="Helvetica"/>
          <w:b/>
          <w:szCs w:val="24"/>
          <w:lang w:val="zh-CN"/>
        </w:rPr>
        <w:t>知识产权归属、处理方式</w:t>
      </w:r>
      <w:bookmarkEnd w:id="551"/>
    </w:p>
    <w:p w14:paraId="087048B9">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i/>
          <w:iCs/>
          <w:szCs w:val="24"/>
        </w:rPr>
      </w:pPr>
      <w:r>
        <w:rPr>
          <w:rFonts w:hint="eastAsia" w:cs="Helvetica"/>
          <w:bCs/>
          <w:i/>
          <w:iCs/>
          <w:szCs w:val="24"/>
          <w:u w:val="single"/>
        </w:rPr>
        <w:t xml:space="preserve">                    (见磋商文件)                          </w:t>
      </w:r>
      <w:r>
        <w:rPr>
          <w:rFonts w:hint="eastAsia" w:cs="Helvetica"/>
          <w:bCs/>
          <w:i/>
          <w:iCs/>
          <w:szCs w:val="24"/>
        </w:rPr>
        <w:t>。</w:t>
      </w:r>
    </w:p>
    <w:p w14:paraId="267C2D8B">
      <w:pPr>
        <w:pStyle w:val="36"/>
        <w:numPr>
          <w:ilvl w:val="0"/>
          <w:numId w:val="24"/>
        </w:numPr>
        <w:wordWrap w:val="0"/>
        <w:spacing w:before="78" w:beforeLines="25"/>
        <w:ind w:firstLineChars="0"/>
        <w:jc w:val="both"/>
        <w:outlineLvl w:val="1"/>
        <w:rPr>
          <w:rFonts w:cs="Helvetica"/>
          <w:b/>
          <w:szCs w:val="24"/>
          <w:lang w:val="zh-CN"/>
        </w:rPr>
      </w:pPr>
      <w:bookmarkStart w:id="552" w:name="_Toc13181"/>
      <w:r>
        <w:rPr>
          <w:rFonts w:hint="eastAsia" w:cs="Helvetica"/>
          <w:b/>
          <w:szCs w:val="24"/>
          <w:lang w:val="zh-CN"/>
        </w:rPr>
        <w:t>双方的权利和义务</w:t>
      </w:r>
      <w:bookmarkEnd w:id="552"/>
    </w:p>
    <w:p w14:paraId="1229E07E">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u w:val="single"/>
        </w:rPr>
      </w:pPr>
      <w:r>
        <w:rPr>
          <w:rFonts w:hint="eastAsia" w:cs="宋体"/>
          <w:szCs w:val="24"/>
        </w:rPr>
        <w:t>1．</w:t>
      </w:r>
      <w:r>
        <w:rPr>
          <w:rFonts w:hint="eastAsia" w:cs="Helvetica"/>
          <w:bCs/>
          <w:szCs w:val="24"/>
        </w:rPr>
        <w:t>甲方的</w:t>
      </w:r>
      <w:r>
        <w:rPr>
          <w:rFonts w:hint="eastAsia" w:cs="宋体"/>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1DD2AB32">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rPr>
        <w:t>乙方的</w:t>
      </w:r>
      <w:r>
        <w:rPr>
          <w:rFonts w:hint="eastAsia" w:cs="宋体"/>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301B8976">
      <w:pPr>
        <w:pStyle w:val="36"/>
        <w:numPr>
          <w:ilvl w:val="0"/>
          <w:numId w:val="24"/>
        </w:numPr>
        <w:wordWrap w:val="0"/>
        <w:spacing w:before="78" w:beforeLines="25"/>
        <w:ind w:firstLineChars="0"/>
        <w:jc w:val="both"/>
        <w:outlineLvl w:val="1"/>
        <w:rPr>
          <w:rFonts w:cs="Helvetica"/>
          <w:b/>
          <w:szCs w:val="24"/>
          <w:lang w:val="zh-CN"/>
        </w:rPr>
      </w:pPr>
      <w:bookmarkStart w:id="553" w:name="_Toc2290"/>
      <w:r>
        <w:rPr>
          <w:rFonts w:hint="eastAsia" w:cs="Helvetica"/>
          <w:b/>
          <w:szCs w:val="24"/>
          <w:lang w:val="zh-CN"/>
        </w:rPr>
        <w:t>违约责任</w:t>
      </w:r>
      <w:bookmarkEnd w:id="553"/>
    </w:p>
    <w:p w14:paraId="6D4DB431">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宋体"/>
          <w:szCs w:val="24"/>
          <w:lang w:val="zh-CN"/>
        </w:rPr>
        <w:t>甲方的违约责任</w:t>
      </w:r>
      <w:r>
        <w:rPr>
          <w:rFonts w:hint="eastAsia" w:cs="宋体"/>
          <w:szCs w:val="24"/>
        </w:rPr>
        <w:t>：</w:t>
      </w:r>
      <w:r>
        <w:rPr>
          <w:rFonts w:hint="eastAsia" w:cs="宋体"/>
          <w:szCs w:val="24"/>
          <w:u w:val="single"/>
        </w:rPr>
        <w:t xml:space="preserve">                                      </w:t>
      </w:r>
      <w:r>
        <w:rPr>
          <w:rFonts w:hint="eastAsia" w:cs="宋体"/>
          <w:szCs w:val="24"/>
        </w:rPr>
        <w:t>；</w:t>
      </w:r>
    </w:p>
    <w:p w14:paraId="1E7E0D5F">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2．乙方的违约责任：</w:t>
      </w:r>
      <w:r>
        <w:rPr>
          <w:rFonts w:hint="eastAsia" w:cs="宋体"/>
          <w:szCs w:val="24"/>
          <w:u w:val="single"/>
        </w:rPr>
        <w:t xml:space="preserve">     </w:t>
      </w:r>
      <w:r>
        <w:rPr>
          <w:rFonts w:cs="宋体"/>
          <w:szCs w:val="24"/>
          <w:u w:val="single"/>
        </w:rPr>
        <w:t xml:space="preserve"> </w:t>
      </w:r>
      <w:r>
        <w:rPr>
          <w:rFonts w:hint="eastAsia" w:cs="宋体"/>
          <w:szCs w:val="24"/>
          <w:u w:val="single"/>
        </w:rPr>
        <w:t xml:space="preserve">  </w:t>
      </w:r>
      <w:r>
        <w:rPr>
          <w:rFonts w:hint="eastAsia" w:cs="Helvetica"/>
          <w:bCs/>
          <w:i/>
          <w:iCs/>
          <w:szCs w:val="24"/>
          <w:u w:val="single"/>
        </w:rPr>
        <w:t>(见磋商文件)</w:t>
      </w:r>
      <w:r>
        <w:rPr>
          <w:rFonts w:hint="eastAsia" w:cs="宋体"/>
          <w:szCs w:val="24"/>
          <w:u w:val="single"/>
        </w:rPr>
        <w:t xml:space="preserve">                  </w:t>
      </w:r>
      <w:r>
        <w:rPr>
          <w:rFonts w:hint="eastAsia" w:cs="宋体"/>
          <w:szCs w:val="24"/>
        </w:rPr>
        <w:t>。</w:t>
      </w:r>
    </w:p>
    <w:p w14:paraId="0E378F28">
      <w:pPr>
        <w:pStyle w:val="36"/>
        <w:numPr>
          <w:ilvl w:val="0"/>
          <w:numId w:val="24"/>
        </w:numPr>
        <w:wordWrap w:val="0"/>
        <w:spacing w:before="78" w:beforeLines="25"/>
        <w:ind w:firstLineChars="0"/>
        <w:jc w:val="both"/>
        <w:outlineLvl w:val="1"/>
        <w:rPr>
          <w:rFonts w:cs="Helvetica"/>
          <w:bCs/>
          <w:i/>
          <w:iCs/>
          <w:szCs w:val="24"/>
          <w:u w:val="single"/>
          <w:lang w:val="zh-CN"/>
        </w:rPr>
      </w:pPr>
      <w:bookmarkStart w:id="554" w:name="_Toc12061"/>
      <w:r>
        <w:rPr>
          <w:rFonts w:hint="eastAsia" w:cs="Helvetica"/>
          <w:b/>
          <w:szCs w:val="24"/>
          <w:lang w:val="zh-CN"/>
        </w:rPr>
        <w:t>保密条款</w:t>
      </w:r>
      <w:bookmarkEnd w:id="554"/>
    </w:p>
    <w:p w14:paraId="2DBB2848">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i/>
          <w:iCs/>
          <w:szCs w:val="24"/>
          <w:u w:val="single"/>
        </w:rPr>
        <w:t xml:space="preserve">                    </w:t>
      </w:r>
      <w:r>
        <w:rPr>
          <w:rFonts w:cs="Helvetica"/>
          <w:bCs/>
          <w:i/>
          <w:iCs/>
          <w:szCs w:val="24"/>
          <w:u w:val="single"/>
        </w:rPr>
        <w:t xml:space="preserve"> </w:t>
      </w:r>
      <w:r>
        <w:rPr>
          <w:rFonts w:hint="eastAsia" w:cs="Helvetica"/>
          <w:bCs/>
          <w:i/>
          <w:iCs/>
          <w:szCs w:val="24"/>
          <w:u w:val="single"/>
        </w:rPr>
        <w:t xml:space="preserve"> (见磋商文件)                      </w:t>
      </w:r>
      <w:r>
        <w:rPr>
          <w:rFonts w:hint="eastAsia" w:cs="Helvetica"/>
          <w:bCs/>
          <w:szCs w:val="24"/>
        </w:rPr>
        <w:t>。</w:t>
      </w:r>
    </w:p>
    <w:p w14:paraId="60782948">
      <w:pPr>
        <w:pStyle w:val="36"/>
        <w:numPr>
          <w:ilvl w:val="0"/>
          <w:numId w:val="24"/>
        </w:numPr>
        <w:wordWrap w:val="0"/>
        <w:spacing w:before="78" w:beforeLines="25"/>
        <w:ind w:firstLineChars="0"/>
        <w:jc w:val="both"/>
        <w:outlineLvl w:val="1"/>
        <w:rPr>
          <w:rFonts w:cs="Helvetica"/>
          <w:b/>
          <w:szCs w:val="24"/>
          <w:lang w:val="zh-CN"/>
        </w:rPr>
      </w:pPr>
      <w:bookmarkStart w:id="555" w:name="_Toc24238"/>
      <w:r>
        <w:rPr>
          <w:rFonts w:hint="eastAsia" w:cs="Helvetica"/>
          <w:b/>
          <w:szCs w:val="24"/>
          <w:lang w:val="zh-CN"/>
        </w:rPr>
        <w:t>其它补充条款</w:t>
      </w:r>
      <w:bookmarkEnd w:id="555"/>
    </w:p>
    <w:p w14:paraId="288BEFAE">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hint="eastAsia" w:cs="Helvetica"/>
          <w:bCs/>
          <w:szCs w:val="24"/>
        </w:rPr>
        <w:t>。</w:t>
      </w:r>
    </w:p>
    <w:p w14:paraId="166DF24B">
      <w:pPr>
        <w:pStyle w:val="36"/>
        <w:numPr>
          <w:ilvl w:val="0"/>
          <w:numId w:val="24"/>
        </w:numPr>
        <w:wordWrap w:val="0"/>
        <w:spacing w:before="78" w:beforeLines="25"/>
        <w:ind w:firstLineChars="0"/>
        <w:jc w:val="both"/>
        <w:outlineLvl w:val="1"/>
        <w:rPr>
          <w:rFonts w:cs="Helvetica"/>
          <w:b/>
          <w:bCs/>
          <w:szCs w:val="24"/>
          <w:lang w:val="zh-CN"/>
        </w:rPr>
      </w:pPr>
      <w:r>
        <w:rPr>
          <w:rFonts w:hint="eastAsia" w:cs="Helvetica"/>
          <w:bCs/>
          <w:i/>
          <w:iCs/>
          <w:szCs w:val="24"/>
        </w:rPr>
        <w:t xml:space="preserve"> </w:t>
      </w:r>
      <w:bookmarkStart w:id="556" w:name="_Toc26800"/>
      <w:r>
        <w:rPr>
          <w:rFonts w:hint="eastAsia" w:cs="Helvetica"/>
          <w:b/>
          <w:bCs/>
          <w:szCs w:val="24"/>
          <w:lang w:val="zh-CN"/>
        </w:rPr>
        <w:t>不可抗力</w:t>
      </w:r>
      <w:bookmarkEnd w:id="556"/>
    </w:p>
    <w:p w14:paraId="5B791A61">
      <w:pPr>
        <w:wordWrap w:val="0"/>
        <w:spacing w:before="78" w:beforeLines="25"/>
        <w:ind w:firstLine="480" w:firstLineChars="200"/>
        <w:rPr>
          <w:rFonts w:cs="Helvetica"/>
          <w:b/>
          <w:szCs w:val="24"/>
          <w:lang w:val="zh-CN"/>
        </w:rPr>
      </w:pPr>
      <w:r>
        <w:rPr>
          <w:rFonts w:hint="eastAsia"/>
        </w:rPr>
        <w:t>任何一方由于不可抗力原因不能履行合同时，应在不可抗力事件结束后</w:t>
      </w:r>
      <w:r>
        <w:rPr>
          <w:rFonts w:hint="eastAsia"/>
          <w:u w:val="single"/>
        </w:rPr>
        <w:t xml:space="preserve">     </w:t>
      </w:r>
      <w:r>
        <w:rPr>
          <w:rFonts w:hint="eastAsia"/>
        </w:rPr>
        <w:t>日内以书面形式通知对方，以减轻可能给对方造成的损失，在取得有关机构的不可抗力证明或双方谅解确认后，允许延期履行或修订合同，并根据情况可部分或全部免于承担违约责任。</w:t>
      </w:r>
    </w:p>
    <w:p w14:paraId="2E9F22F1">
      <w:pPr>
        <w:pStyle w:val="36"/>
        <w:numPr>
          <w:ilvl w:val="0"/>
          <w:numId w:val="24"/>
        </w:numPr>
        <w:wordWrap w:val="0"/>
        <w:spacing w:before="78" w:beforeLines="25"/>
        <w:ind w:firstLineChars="0"/>
        <w:jc w:val="both"/>
        <w:outlineLvl w:val="1"/>
        <w:rPr>
          <w:rFonts w:cs="Helvetica"/>
          <w:b/>
          <w:szCs w:val="24"/>
          <w:lang w:val="zh-CN"/>
        </w:rPr>
      </w:pPr>
      <w:bookmarkStart w:id="557" w:name="_Toc17334"/>
      <w:r>
        <w:rPr>
          <w:rFonts w:hint="eastAsia" w:cs="Helvetica"/>
          <w:b/>
          <w:szCs w:val="24"/>
          <w:lang w:val="zh-CN"/>
        </w:rPr>
        <w:t>解决争议的方法</w:t>
      </w:r>
      <w:bookmarkEnd w:id="557"/>
    </w:p>
    <w:p w14:paraId="5663A13F">
      <w:pPr>
        <w:numPr>
          <w:ilvl w:val="255"/>
          <w:numId w:val="0"/>
        </w:numPr>
        <w:tabs>
          <w:tab w:val="left" w:pos="980"/>
        </w:tabs>
        <w:wordWrap w:val="0"/>
        <w:autoSpaceDE w:val="0"/>
        <w:autoSpaceDN w:val="0"/>
        <w:spacing w:before="78" w:beforeLines="25"/>
        <w:ind w:firstLine="480" w:firstLineChars="200"/>
        <w:contextualSpacing/>
      </w:pPr>
      <w:r>
        <w:rPr>
          <w:rFonts w:hint="eastAsia"/>
        </w:rPr>
        <w:t>一切由执行合同引起的或与本合同有关的争执，双方应通过友好协商解决，如协商不能解决应提交甲方所在地有管辖权的人民法院诉讼解决。</w:t>
      </w:r>
    </w:p>
    <w:p w14:paraId="24E0B739">
      <w:pPr>
        <w:pStyle w:val="36"/>
        <w:numPr>
          <w:ilvl w:val="0"/>
          <w:numId w:val="24"/>
        </w:numPr>
        <w:wordWrap w:val="0"/>
        <w:spacing w:before="78" w:beforeLines="25"/>
        <w:ind w:firstLineChars="0"/>
        <w:jc w:val="both"/>
        <w:outlineLvl w:val="1"/>
        <w:rPr>
          <w:rFonts w:cs="Helvetica"/>
          <w:b/>
          <w:szCs w:val="24"/>
          <w:lang w:val="zh-CN"/>
        </w:rPr>
      </w:pPr>
      <w:bookmarkStart w:id="558" w:name="_Toc15860"/>
      <w:r>
        <w:rPr>
          <w:rFonts w:hint="eastAsia" w:cs="Helvetica"/>
          <w:b/>
          <w:szCs w:val="24"/>
          <w:lang w:val="zh-CN"/>
        </w:rPr>
        <w:t>合同组成</w:t>
      </w:r>
      <w:bookmarkEnd w:id="558"/>
    </w:p>
    <w:p w14:paraId="64A8D471">
      <w:pPr>
        <w:wordWrap w:val="0"/>
        <w:spacing w:before="78" w:beforeLines="25"/>
        <w:ind w:firstLine="960" w:firstLineChars="400"/>
        <w:rPr>
          <w:rFonts w:cs="Helvetica"/>
          <w:szCs w:val="24"/>
          <w:lang w:val="zh-CN"/>
        </w:rPr>
      </w:pPr>
      <w:r>
        <w:rPr>
          <w:rFonts w:hint="eastAsia"/>
        </w:rPr>
        <w:t>下列文件为本合同不可分割的部分：</w:t>
      </w:r>
    </w:p>
    <w:p w14:paraId="2762A5B3">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1．</w:t>
      </w:r>
      <w:r>
        <w:rPr>
          <w:rFonts w:hint="eastAsia"/>
          <w:lang w:val="zh-CN"/>
        </w:rPr>
        <w:t>合同书；</w:t>
      </w:r>
    </w:p>
    <w:p w14:paraId="17E61240">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w:t>
      </w:r>
      <w:r>
        <w:rPr>
          <w:rFonts w:hint="eastAsia"/>
          <w:lang w:val="zh-CN"/>
        </w:rPr>
        <w:t>代理机构发出的成交通知书；</w:t>
      </w:r>
      <w:r>
        <w:t xml:space="preserve"> </w:t>
      </w:r>
    </w:p>
    <w:p w14:paraId="37DB6370">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3．</w:t>
      </w:r>
      <w:r>
        <w:rPr>
          <w:rFonts w:hint="eastAsia"/>
          <w:lang w:val="zh-CN"/>
        </w:rPr>
        <w:t>经双方确认并共同签字的补充文件、技术协议等；</w:t>
      </w:r>
    </w:p>
    <w:p w14:paraId="5B38502E">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4．</w:t>
      </w:r>
      <w:r>
        <w:rPr>
          <w:rFonts w:hint="eastAsia"/>
          <w:lang w:val="zh-CN"/>
        </w:rPr>
        <w:t>乙方的响应文件（含附件、补充文件、图纸等）；</w:t>
      </w:r>
    </w:p>
    <w:p w14:paraId="7F1175A1">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5．</w:t>
      </w:r>
      <w:r>
        <w:rPr>
          <w:rFonts w:hint="eastAsia"/>
          <w:lang w:val="zh-CN"/>
        </w:rPr>
        <w:t>采购文件（含附件、补充文件、图纸等</w:t>
      </w:r>
      <w:r>
        <w:rPr>
          <w:rFonts w:hint="eastAsia"/>
        </w:rPr>
        <w:t>）。</w:t>
      </w:r>
    </w:p>
    <w:p w14:paraId="0CAF16EB">
      <w:pPr>
        <w:pStyle w:val="36"/>
        <w:numPr>
          <w:ilvl w:val="0"/>
          <w:numId w:val="24"/>
        </w:numPr>
        <w:wordWrap w:val="0"/>
        <w:spacing w:before="78" w:beforeLines="25"/>
        <w:ind w:firstLineChars="0"/>
        <w:jc w:val="both"/>
        <w:outlineLvl w:val="1"/>
        <w:rPr>
          <w:b/>
        </w:rPr>
      </w:pPr>
      <w:bookmarkStart w:id="559" w:name="_Toc2556"/>
      <w:r>
        <w:rPr>
          <w:rFonts w:hint="eastAsia" w:cs="Helvetica"/>
          <w:b/>
          <w:szCs w:val="24"/>
          <w:lang w:val="zh-CN"/>
        </w:rPr>
        <w:t>合同生效与终止</w:t>
      </w:r>
      <w:bookmarkEnd w:id="559"/>
    </w:p>
    <w:p w14:paraId="08A04C3A">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1．本合同经甲乙双方授权代表签字和加盖公章（或合同专用章）后生效。如竞争性磋商申请公证的，合同需经公证机构公证后生效；</w:t>
      </w:r>
    </w:p>
    <w:p w14:paraId="04D34905">
      <w:pPr>
        <w:numPr>
          <w:ilvl w:val="255"/>
          <w:numId w:val="0"/>
        </w:numPr>
        <w:tabs>
          <w:tab w:val="left" w:pos="980"/>
        </w:tabs>
        <w:wordWrap w:val="0"/>
        <w:autoSpaceDE w:val="0"/>
        <w:autoSpaceDN w:val="0"/>
        <w:spacing w:before="78" w:beforeLines="25"/>
        <w:ind w:firstLine="960" w:firstLineChars="400"/>
        <w:contextualSpacing/>
      </w:pPr>
      <w:r>
        <w:rPr>
          <w:rFonts w:hint="eastAsia"/>
        </w:rPr>
        <w:t>2．双方履行完各自权利和义务后合同自行终止；</w:t>
      </w:r>
    </w:p>
    <w:p w14:paraId="53F551B8">
      <w:pPr>
        <w:numPr>
          <w:ilvl w:val="255"/>
          <w:numId w:val="0"/>
        </w:numPr>
        <w:tabs>
          <w:tab w:val="left" w:pos="980"/>
        </w:tabs>
        <w:wordWrap w:val="0"/>
        <w:autoSpaceDE w:val="0"/>
        <w:autoSpaceDN w:val="0"/>
        <w:spacing w:before="78" w:beforeLines="25"/>
        <w:ind w:firstLine="960" w:firstLineChars="400"/>
        <w:contextualSpacing/>
      </w:pPr>
      <w:r>
        <w:rPr>
          <w:rFonts w:hint="eastAsia"/>
        </w:rPr>
        <w:t>3．本合同规定可以终止合同的情形。</w:t>
      </w:r>
    </w:p>
    <w:p w14:paraId="42AF5288">
      <w:pPr>
        <w:pStyle w:val="36"/>
        <w:numPr>
          <w:ilvl w:val="0"/>
          <w:numId w:val="24"/>
        </w:numPr>
        <w:wordWrap w:val="0"/>
        <w:spacing w:before="78" w:beforeLines="25"/>
        <w:ind w:firstLineChars="0"/>
        <w:jc w:val="both"/>
        <w:outlineLvl w:val="1"/>
        <w:rPr>
          <w:b/>
          <w:bCs/>
        </w:rPr>
      </w:pPr>
      <w:bookmarkStart w:id="560" w:name="_Toc8079"/>
      <w:r>
        <w:rPr>
          <w:rFonts w:hint="eastAsia"/>
          <w:b/>
          <w:bCs/>
        </w:rPr>
        <w:t>通知与送达</w:t>
      </w:r>
      <w:bookmarkEnd w:id="560"/>
    </w:p>
    <w:p w14:paraId="0D41BE3A">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1．就本合同有关事项，双方应通过本合同约定的联系方式向对方发送相关通知，本合同约定的送达地址同时作为有效司法送达地址；</w:t>
      </w:r>
    </w:p>
    <w:p w14:paraId="38AA0DBC">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2．一方变更通知或通讯地址，应自变更之日起</w:t>
      </w:r>
      <w:r>
        <w:rPr>
          <w:rFonts w:hint="eastAsia"/>
          <w:u w:val="single"/>
        </w:rPr>
        <w:t xml:space="preserve">    </w:t>
      </w:r>
      <w:r>
        <w:rPr>
          <w:rFonts w:hint="eastAsia"/>
        </w:rPr>
        <w:t>日内，以书面形式通知对方，否则，由未通知方承担由此而引起的相关责任。</w:t>
      </w:r>
    </w:p>
    <w:p w14:paraId="083C0AB4">
      <w:pPr>
        <w:pStyle w:val="36"/>
        <w:numPr>
          <w:ilvl w:val="0"/>
          <w:numId w:val="24"/>
        </w:numPr>
        <w:wordWrap w:val="0"/>
        <w:spacing w:before="78" w:beforeLines="25"/>
        <w:ind w:firstLineChars="0"/>
        <w:jc w:val="both"/>
        <w:outlineLvl w:val="1"/>
        <w:rPr>
          <w:b/>
          <w:bCs/>
        </w:rPr>
      </w:pPr>
      <w:bookmarkStart w:id="561" w:name="_Toc13317"/>
      <w:r>
        <w:rPr>
          <w:rFonts w:hint="eastAsia"/>
          <w:b/>
          <w:bCs/>
        </w:rPr>
        <w:t>其它</w:t>
      </w:r>
      <w:bookmarkEnd w:id="561"/>
    </w:p>
    <w:p w14:paraId="01E0F12C">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2695F35A">
      <w:pPr>
        <w:numPr>
          <w:ilvl w:val="255"/>
          <w:numId w:val="0"/>
        </w:numPr>
        <w:tabs>
          <w:tab w:val="left" w:pos="980"/>
        </w:tabs>
        <w:wordWrap w:val="0"/>
        <w:autoSpaceDE w:val="0"/>
        <w:autoSpaceDN w:val="0"/>
        <w:spacing w:before="78" w:beforeLines="25"/>
        <w:ind w:left="547" w:leftChars="228" w:firstLine="480" w:firstLineChars="200"/>
        <w:contextualSpacing/>
      </w:pPr>
    </w:p>
    <w:p w14:paraId="06698BC8">
      <w:pPr>
        <w:wordWrap w:val="0"/>
        <w:spacing w:before="78" w:beforeLines="25"/>
        <w:ind w:firstLine="489" w:firstLineChars="204"/>
        <w:contextualSpacing/>
      </w:pPr>
      <w:r>
        <w:rPr>
          <w:rFonts w:hint="eastAsia"/>
        </w:rPr>
        <w:t xml:space="preserve">    </w:t>
      </w:r>
    </w:p>
    <w:p w14:paraId="5999AAC1">
      <w:pPr>
        <w:wordWrap w:val="0"/>
        <w:spacing w:before="78" w:beforeLines="25"/>
        <w:ind w:firstLine="969" w:firstLineChars="404"/>
        <w:contextualSpacing/>
      </w:pPr>
      <w:r>
        <w:rPr>
          <w:rFonts w:hint="eastAsia"/>
        </w:rPr>
        <w:t>甲　　方：</w:t>
      </w:r>
      <w:r>
        <w:rPr>
          <w:rFonts w:hint="eastAsia"/>
        </w:rPr>
        <w:tab/>
      </w:r>
      <w:r>
        <w:rPr>
          <w:rFonts w:hint="eastAsia"/>
        </w:rPr>
        <w:t xml:space="preserve">                         乙　　方：</w:t>
      </w:r>
    </w:p>
    <w:p w14:paraId="4002C409">
      <w:pPr>
        <w:wordWrap w:val="0"/>
        <w:spacing w:before="78" w:beforeLines="25"/>
        <w:ind w:firstLine="969" w:firstLineChars="404"/>
        <w:contextualSpacing/>
      </w:pPr>
      <w:r>
        <w:rPr>
          <w:rFonts w:hint="eastAsia"/>
        </w:rPr>
        <w:t>单位名称（盖章）：</w:t>
      </w:r>
      <w:r>
        <w:rPr>
          <w:rFonts w:hint="eastAsia"/>
        </w:rPr>
        <w:tab/>
      </w:r>
      <w:r>
        <w:rPr>
          <w:rFonts w:hint="eastAsia"/>
        </w:rPr>
        <w:t xml:space="preserve">                  单位名称（盖章）：</w:t>
      </w:r>
    </w:p>
    <w:p w14:paraId="7446C095">
      <w:pPr>
        <w:wordWrap w:val="0"/>
        <w:spacing w:before="78" w:beforeLines="25"/>
        <w:ind w:firstLine="969" w:firstLineChars="404"/>
        <w:contextualSpacing/>
      </w:pPr>
      <w:r>
        <w:rPr>
          <w:rFonts w:hint="eastAsia"/>
        </w:rPr>
        <w:t>单位地址：</w:t>
      </w:r>
      <w:r>
        <w:rPr>
          <w:rFonts w:hint="eastAsia"/>
        </w:rPr>
        <w:tab/>
      </w:r>
      <w:r>
        <w:rPr>
          <w:rFonts w:hint="eastAsia"/>
        </w:rPr>
        <w:t xml:space="preserve">                         单位地址：</w:t>
      </w:r>
    </w:p>
    <w:p w14:paraId="04B7643F">
      <w:pPr>
        <w:wordWrap w:val="0"/>
        <w:spacing w:before="78" w:beforeLines="25"/>
        <w:ind w:firstLine="969" w:firstLineChars="404"/>
        <w:contextualSpacing/>
      </w:pPr>
      <w:r>
        <w:rPr>
          <w:rFonts w:hint="eastAsia"/>
        </w:rPr>
        <w:t xml:space="preserve">法人代表授权人(签字)：             </w:t>
      </w:r>
      <w:r>
        <w:rPr>
          <w:rFonts w:hint="eastAsia"/>
        </w:rPr>
        <w:tab/>
      </w:r>
      <w:r>
        <w:rPr>
          <w:rFonts w:hint="eastAsia"/>
        </w:rPr>
        <w:t>法人代表授权人(签字)：</w:t>
      </w:r>
    </w:p>
    <w:p w14:paraId="4DFA86DC">
      <w:pPr>
        <w:wordWrap w:val="0"/>
        <w:spacing w:before="78" w:beforeLines="25"/>
        <w:ind w:firstLine="969" w:firstLineChars="404"/>
        <w:contextualSpacing/>
      </w:pPr>
      <w:r>
        <w:rPr>
          <w:rFonts w:hint="eastAsia"/>
        </w:rPr>
        <w:t>联 系 人：</w:t>
      </w:r>
      <w:r>
        <w:rPr>
          <w:rFonts w:hint="eastAsia"/>
        </w:rPr>
        <w:tab/>
      </w:r>
      <w:r>
        <w:rPr>
          <w:rFonts w:hint="eastAsia"/>
        </w:rPr>
        <w:t xml:space="preserve">                         联 系 人：</w:t>
      </w:r>
    </w:p>
    <w:p w14:paraId="5A8B5E70">
      <w:pPr>
        <w:wordWrap w:val="0"/>
        <w:spacing w:before="78" w:beforeLines="25"/>
        <w:ind w:firstLine="969" w:firstLineChars="404"/>
        <w:contextualSpacing/>
      </w:pPr>
      <w:r>
        <w:rPr>
          <w:rFonts w:hint="eastAsia"/>
        </w:rPr>
        <w:t xml:space="preserve">电　　话：                         </w:t>
      </w:r>
      <w:r>
        <w:rPr>
          <w:rFonts w:hint="eastAsia"/>
        </w:rPr>
        <w:tab/>
      </w:r>
      <w:r>
        <w:rPr>
          <w:rFonts w:hint="eastAsia"/>
        </w:rPr>
        <w:t>电　　话：</w:t>
      </w:r>
    </w:p>
    <w:p w14:paraId="76D6FA7F">
      <w:pPr>
        <w:wordWrap w:val="0"/>
        <w:spacing w:before="78" w:beforeLines="25"/>
        <w:ind w:firstLine="969" w:firstLineChars="404"/>
        <w:contextualSpacing/>
      </w:pPr>
      <w:r>
        <w:rPr>
          <w:rFonts w:hint="eastAsia"/>
        </w:rPr>
        <w:t xml:space="preserve">传　　真：                         </w:t>
      </w:r>
      <w:r>
        <w:rPr>
          <w:rFonts w:hint="eastAsia"/>
        </w:rPr>
        <w:tab/>
      </w:r>
      <w:r>
        <w:rPr>
          <w:rFonts w:hint="eastAsia"/>
        </w:rPr>
        <w:t>传　　真：</w:t>
      </w:r>
    </w:p>
    <w:p w14:paraId="30BCF58A">
      <w:pPr>
        <w:wordWrap w:val="0"/>
        <w:spacing w:before="78" w:beforeLines="25"/>
        <w:ind w:firstLine="969" w:firstLineChars="404"/>
        <w:contextualSpacing/>
      </w:pPr>
      <w:r>
        <w:rPr>
          <w:rFonts w:hint="eastAsia"/>
        </w:rPr>
        <w:t xml:space="preserve">邮政编码：                         </w:t>
      </w:r>
      <w:r>
        <w:rPr>
          <w:rFonts w:hint="eastAsia"/>
        </w:rPr>
        <w:tab/>
      </w:r>
      <w:r>
        <w:rPr>
          <w:rFonts w:hint="eastAsia"/>
        </w:rPr>
        <w:t>邮政编码：</w:t>
      </w:r>
    </w:p>
    <w:p w14:paraId="1340BBD6">
      <w:pPr>
        <w:wordWrap w:val="0"/>
        <w:spacing w:before="78" w:beforeLines="25"/>
        <w:ind w:firstLine="969" w:firstLineChars="404"/>
        <w:contextualSpacing/>
      </w:pPr>
      <w:r>
        <w:rPr>
          <w:rFonts w:hint="eastAsia"/>
        </w:rPr>
        <w:t xml:space="preserve">开户银行：                         </w:t>
      </w:r>
      <w:r>
        <w:rPr>
          <w:rFonts w:hint="eastAsia"/>
        </w:rPr>
        <w:tab/>
      </w:r>
      <w:r>
        <w:rPr>
          <w:rFonts w:hint="eastAsia"/>
        </w:rPr>
        <w:t>开户银行：</w:t>
      </w:r>
    </w:p>
    <w:p w14:paraId="5AB5E6A3">
      <w:pPr>
        <w:wordWrap w:val="0"/>
        <w:spacing w:before="78" w:beforeLines="25"/>
        <w:ind w:firstLine="969" w:firstLineChars="404"/>
        <w:contextualSpacing/>
      </w:pPr>
      <w:r>
        <w:rPr>
          <w:rFonts w:hint="eastAsia"/>
        </w:rPr>
        <w:t xml:space="preserve">帐　　号：                         </w:t>
      </w:r>
      <w:r>
        <w:rPr>
          <w:rFonts w:hint="eastAsia"/>
        </w:rPr>
        <w:tab/>
      </w:r>
      <w:r>
        <w:rPr>
          <w:rFonts w:hint="eastAsia"/>
        </w:rPr>
        <w:t>帐　　号：</w:t>
      </w:r>
    </w:p>
    <w:p w14:paraId="1CF507CC">
      <w:pPr>
        <w:ind w:left="550" w:firstLine="420" w:firstLineChars="175"/>
      </w:pPr>
      <w:r>
        <w:rPr>
          <w:rFonts w:hint="eastAsia"/>
        </w:rPr>
        <w:t xml:space="preserve">税　　号：                         </w:t>
      </w:r>
      <w:r>
        <w:rPr>
          <w:rFonts w:hint="eastAsia"/>
        </w:rPr>
        <w:tab/>
      </w:r>
      <w:r>
        <w:rPr>
          <w:rFonts w:hint="eastAsia"/>
        </w:rPr>
        <w:t>税　　号：</w:t>
      </w:r>
    </w:p>
    <w:p w14:paraId="42DC92BD">
      <w:pPr>
        <w:sectPr>
          <w:pgSz w:w="11906" w:h="16838"/>
          <w:pgMar w:top="1440" w:right="1800" w:bottom="1440" w:left="1800" w:header="851" w:footer="992" w:gutter="0"/>
          <w:cols w:space="425" w:num="1"/>
          <w:docGrid w:type="lines" w:linePitch="312" w:charSpace="0"/>
        </w:sectPr>
      </w:pPr>
    </w:p>
    <w:p w14:paraId="2EAFCABB">
      <w:pPr>
        <w:pStyle w:val="2"/>
        <w:numPr>
          <w:ilvl w:val="0"/>
          <w:numId w:val="1"/>
        </w:numPr>
      </w:pPr>
      <w:bookmarkStart w:id="562" w:name="_Toc163493642"/>
      <w:bookmarkStart w:id="563" w:name="_Toc24442"/>
      <w:bookmarkStart w:id="564" w:name="_Toc18954"/>
      <w:bookmarkStart w:id="565" w:name="_Toc28802"/>
      <w:bookmarkStart w:id="566" w:name="_Toc24538"/>
      <w:bookmarkStart w:id="567" w:name="_Toc12421"/>
      <w:r>
        <w:rPr>
          <w:rFonts w:hint="eastAsia"/>
        </w:rPr>
        <w:t>响应文件的格式</w:t>
      </w:r>
      <w:bookmarkEnd w:id="562"/>
      <w:bookmarkEnd w:id="563"/>
      <w:bookmarkEnd w:id="564"/>
      <w:bookmarkEnd w:id="565"/>
      <w:bookmarkEnd w:id="566"/>
      <w:bookmarkEnd w:id="567"/>
    </w:p>
    <w:p w14:paraId="3FDB310C">
      <w:pPr>
        <w:ind w:firstLine="480" w:firstLineChars="200"/>
        <w:rPr>
          <w:rFonts w:cs="仿宋_GB2312"/>
          <w:lang w:val="zh-CN"/>
        </w:rPr>
      </w:pPr>
      <w:r>
        <w:rPr>
          <w:rFonts w:hint="eastAsia" w:cs="仿宋_GB2312"/>
          <w:lang w:val="zh-CN"/>
        </w:rPr>
        <w:t>封面：</w:t>
      </w:r>
    </w:p>
    <w:p w14:paraId="691AE4A3">
      <w:pPr>
        <w:autoSpaceDE w:val="0"/>
        <w:autoSpaceDN w:val="0"/>
        <w:adjustRightInd w:val="0"/>
        <w:jc w:val="center"/>
        <w:rPr>
          <w:sz w:val="21"/>
          <w:szCs w:val="24"/>
        </w:rPr>
      </w:pPr>
    </w:p>
    <w:p w14:paraId="45C579F6">
      <w:pPr>
        <w:autoSpaceDE w:val="0"/>
        <w:autoSpaceDN w:val="0"/>
        <w:adjustRightInd w:val="0"/>
        <w:jc w:val="center"/>
        <w:rPr>
          <w:b/>
          <w:sz w:val="84"/>
          <w:szCs w:val="84"/>
        </w:rPr>
      </w:pPr>
      <w:r>
        <w:rPr>
          <w:rFonts w:hint="eastAsia"/>
          <w:b/>
          <w:sz w:val="84"/>
          <w:szCs w:val="84"/>
        </w:rPr>
        <w:t>响 应 文 件</w:t>
      </w:r>
    </w:p>
    <w:p w14:paraId="400275DE">
      <w:pPr>
        <w:autoSpaceDE w:val="0"/>
        <w:autoSpaceDN w:val="0"/>
        <w:adjustRightInd w:val="0"/>
        <w:rPr>
          <w:sz w:val="21"/>
          <w:szCs w:val="21"/>
        </w:rPr>
      </w:pPr>
    </w:p>
    <w:p w14:paraId="236D214B">
      <w:pPr>
        <w:autoSpaceDE w:val="0"/>
        <w:autoSpaceDN w:val="0"/>
        <w:adjustRightInd w:val="0"/>
        <w:rPr>
          <w:sz w:val="21"/>
          <w:szCs w:val="21"/>
        </w:rPr>
      </w:pPr>
    </w:p>
    <w:p w14:paraId="0B97BFE7">
      <w:pPr>
        <w:autoSpaceDE w:val="0"/>
        <w:autoSpaceDN w:val="0"/>
        <w:adjustRightInd w:val="0"/>
        <w:rPr>
          <w:sz w:val="21"/>
          <w:szCs w:val="21"/>
        </w:rPr>
      </w:pPr>
    </w:p>
    <w:p w14:paraId="61B91DF7">
      <w:pPr>
        <w:autoSpaceDE w:val="0"/>
        <w:autoSpaceDN w:val="0"/>
        <w:adjustRightInd w:val="0"/>
        <w:rPr>
          <w:sz w:val="21"/>
          <w:szCs w:val="21"/>
        </w:rPr>
      </w:pPr>
    </w:p>
    <w:p w14:paraId="53741817">
      <w:pPr>
        <w:autoSpaceDE w:val="0"/>
        <w:autoSpaceDN w:val="0"/>
        <w:adjustRightInd w:val="0"/>
        <w:rPr>
          <w:sz w:val="21"/>
          <w:szCs w:val="21"/>
        </w:rPr>
      </w:pPr>
    </w:p>
    <w:p w14:paraId="491A4E6A">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p>
    <w:p w14:paraId="6A202DC1">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14:paraId="6609A628">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14:paraId="67ED4A0B">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25B424BD">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365BF8EB">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r>
        <w:rPr>
          <w:rFonts w:hint="eastAsia" w:ascii="黑体" w:hAnsi="黑体" w:eastAsia="黑体"/>
          <w:sz w:val="32"/>
          <w:szCs w:val="32"/>
          <w:u w:val="single"/>
        </w:rPr>
        <w:t xml:space="preserve">                                          </w:t>
      </w:r>
    </w:p>
    <w:p w14:paraId="51A80FC0">
      <w:pPr>
        <w:jc w:val="center"/>
        <w:rPr>
          <w:b/>
          <w:bCs/>
          <w:sz w:val="32"/>
          <w:szCs w:val="32"/>
        </w:rPr>
      </w:pPr>
    </w:p>
    <w:p w14:paraId="5AC7709C">
      <w:pPr>
        <w:jc w:val="center"/>
        <w:rPr>
          <w:b/>
          <w:bCs/>
          <w:sz w:val="32"/>
          <w:szCs w:val="32"/>
        </w:rPr>
      </w:pPr>
    </w:p>
    <w:p w14:paraId="2287EA6B">
      <w:pPr>
        <w:jc w:val="center"/>
        <w:rPr>
          <w:b/>
          <w:bCs/>
          <w:sz w:val="32"/>
          <w:szCs w:val="32"/>
        </w:rPr>
      </w:pPr>
    </w:p>
    <w:p w14:paraId="77F7C4F5">
      <w:pPr>
        <w:jc w:val="center"/>
        <w:rPr>
          <w:b/>
          <w:bCs/>
          <w:sz w:val="32"/>
          <w:szCs w:val="32"/>
        </w:rPr>
      </w:pPr>
    </w:p>
    <w:p w14:paraId="66109D07">
      <w:pPr>
        <w:jc w:val="center"/>
        <w:rPr>
          <w:b/>
          <w:bCs/>
          <w:sz w:val="32"/>
          <w:szCs w:val="32"/>
        </w:rPr>
      </w:pPr>
    </w:p>
    <w:p w14:paraId="6EDAF6D1">
      <w:pPr>
        <w:jc w:val="center"/>
        <w:rPr>
          <w:b/>
          <w:bCs/>
          <w:sz w:val="28"/>
          <w:szCs w:val="28"/>
        </w:rPr>
      </w:pPr>
      <w:r>
        <w:rPr>
          <w:rFonts w:hint="eastAsia"/>
          <w:b/>
          <w:bCs/>
          <w:sz w:val="32"/>
          <w:szCs w:val="32"/>
        </w:rPr>
        <w:t>年   月    日</w:t>
      </w:r>
      <w:r>
        <w:rPr>
          <w:b/>
          <w:bCs/>
          <w:sz w:val="28"/>
          <w:szCs w:val="28"/>
        </w:rPr>
        <w:br w:type="page"/>
      </w:r>
    </w:p>
    <w:p w14:paraId="50DDA203">
      <w:pPr>
        <w:pStyle w:val="3"/>
        <w:numPr>
          <w:ilvl w:val="0"/>
          <w:numId w:val="25"/>
        </w:numPr>
      </w:pPr>
      <w:bookmarkStart w:id="568" w:name="_Toc21228"/>
      <w:bookmarkStart w:id="569" w:name="_Toc8472"/>
      <w:bookmarkStart w:id="570" w:name="_Toc163493643"/>
      <w:bookmarkStart w:id="571" w:name="_Toc26048"/>
      <w:r>
        <w:rPr>
          <w:rFonts w:hint="eastAsia"/>
        </w:rPr>
        <w:t>磋商书及附件</w:t>
      </w:r>
      <w:bookmarkEnd w:id="568"/>
      <w:bookmarkEnd w:id="569"/>
      <w:bookmarkEnd w:id="570"/>
      <w:bookmarkEnd w:id="571"/>
    </w:p>
    <w:p w14:paraId="07B4BAE1">
      <w:pPr>
        <w:pStyle w:val="4"/>
        <w:numPr>
          <w:ilvl w:val="0"/>
          <w:numId w:val="26"/>
        </w:numPr>
      </w:pPr>
      <w:bookmarkStart w:id="572" w:name="_Toc11264"/>
      <w:bookmarkStart w:id="573" w:name="_Toc14818"/>
      <w:bookmarkStart w:id="574" w:name="_Toc163493644"/>
      <w:r>
        <w:rPr>
          <w:rFonts w:hint="eastAsia"/>
        </w:rPr>
        <w:t>响应函</w:t>
      </w:r>
      <w:bookmarkEnd w:id="572"/>
      <w:bookmarkEnd w:id="573"/>
      <w:bookmarkEnd w:id="574"/>
    </w:p>
    <w:p w14:paraId="63E869B9">
      <w:pPr>
        <w:autoSpaceDE w:val="0"/>
        <w:autoSpaceDN w:val="0"/>
        <w:adjustRightInd w:val="0"/>
        <w:snapToGrid w:val="0"/>
        <w:rPr>
          <w:rFonts w:cs="仿宋_GB2312"/>
        </w:rPr>
      </w:pPr>
      <w:r>
        <w:rPr>
          <w:rFonts w:hint="eastAsia" w:cs="仿宋_GB2312"/>
          <w:bCs/>
        </w:rPr>
        <w:t>（采购代理机构）：</w:t>
      </w:r>
    </w:p>
    <w:p w14:paraId="7951E113">
      <w:pPr>
        <w:autoSpaceDE w:val="0"/>
        <w:autoSpaceDN w:val="0"/>
        <w:adjustRightInd w:val="0"/>
        <w:snapToGrid w:val="0"/>
        <w:ind w:firstLine="480" w:firstLineChars="200"/>
        <w:rPr>
          <w:rFonts w:cs="仿宋_GB2312"/>
        </w:rPr>
      </w:pPr>
      <w:r>
        <w:rPr>
          <w:rFonts w:hint="eastAsia" w:cs="仿宋_GB2312"/>
        </w:rPr>
        <w:t>依据贵方（项目名称/项目编号）项目的磋商邀请，我方代表（姓名、职务）经正式授权并代表供应商（供应商的名称、地址）提交响应文件。</w:t>
      </w:r>
      <w:r>
        <w:rPr>
          <w:rFonts w:hint="eastAsia" w:cs="仿宋_GB2312"/>
          <w:b/>
          <w:bCs/>
        </w:rPr>
        <w:t>并进行如下承诺声明：</w:t>
      </w:r>
    </w:p>
    <w:p w14:paraId="298C6927">
      <w:pPr>
        <w:numPr>
          <w:ilvl w:val="0"/>
          <w:numId w:val="27"/>
        </w:numPr>
        <w:tabs>
          <w:tab w:val="left" w:pos="840"/>
        </w:tabs>
        <w:autoSpaceDE w:val="0"/>
        <w:autoSpaceDN w:val="0"/>
        <w:adjustRightInd w:val="0"/>
        <w:snapToGrid w:val="0"/>
        <w:ind w:firstLine="480" w:firstLineChars="200"/>
        <w:jc w:val="both"/>
        <w:rPr>
          <w:rFonts w:cs="宋体"/>
        </w:rPr>
      </w:pPr>
      <w:r>
        <w:rPr>
          <w:rFonts w:hint="eastAsia" w:cs="宋体"/>
          <w:lang w:val="zh-CN"/>
        </w:rPr>
        <w:t>我方在参加本次政府采购活动前</w:t>
      </w:r>
      <w:r>
        <w:rPr>
          <w:rFonts w:hint="eastAsia" w:cs="宋体"/>
        </w:rPr>
        <w:t>三年内在经营活动中没有重大违法记录；</w:t>
      </w:r>
    </w:p>
    <w:p w14:paraId="01F45F97">
      <w:pPr>
        <w:numPr>
          <w:ilvl w:val="0"/>
          <w:numId w:val="27"/>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我方在本响应文件中所提供的全部资料均真实有效，我方承诺对其真实性负责并承担相应后果；</w:t>
      </w:r>
    </w:p>
    <w:p w14:paraId="070F45B6">
      <w:pPr>
        <w:numPr>
          <w:ilvl w:val="0"/>
          <w:numId w:val="27"/>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我方在本响应文件中所响应的内容均将成为签订合同的依据，并承诺按响应内容提供相应服务；</w:t>
      </w:r>
    </w:p>
    <w:p w14:paraId="108F0245">
      <w:pPr>
        <w:numPr>
          <w:ilvl w:val="0"/>
          <w:numId w:val="27"/>
        </w:numPr>
        <w:snapToGrid w:val="0"/>
        <w:spacing w:line="324" w:lineRule="auto"/>
        <w:jc w:val="both"/>
        <w:rPr>
          <w:rFonts w:ascii="Arial" w:hAnsi="Arial" w:cs="Arial"/>
          <w:b/>
        </w:rPr>
      </w:pPr>
      <w:r>
        <w:rPr>
          <w:rFonts w:hint="eastAsia" w:ascii="Arial" w:hAnsi="Arial" w:cs="Arial"/>
          <w:b/>
        </w:rPr>
        <w:t>重要声明：</w:t>
      </w:r>
    </w:p>
    <w:p w14:paraId="4FA1A6F1">
      <w:pPr>
        <w:snapToGrid w:val="0"/>
        <w:spacing w:line="324" w:lineRule="auto"/>
        <w:ind w:left="400"/>
        <w:rPr>
          <w:b/>
        </w:rPr>
      </w:pPr>
      <w:r>
        <w:rPr>
          <w:rFonts w:hint="eastAsia"/>
          <w:b/>
        </w:rPr>
        <w:t>1）与我方单位负责人为同一人的其他单位名称：</w:t>
      </w:r>
    </w:p>
    <w:p w14:paraId="49DCBA5C">
      <w:pPr>
        <w:snapToGrid w:val="0"/>
        <w:spacing w:line="324" w:lineRule="auto"/>
        <w:ind w:left="456" w:leftChars="190" w:firstLine="236" w:firstLineChars="98"/>
        <w:rPr>
          <w:b/>
        </w:rPr>
      </w:pPr>
      <w:r>
        <w:rPr>
          <w:rFonts w:hint="eastAsia"/>
          <w:b/>
        </w:rPr>
        <w:t>□无；□有，具体单位名称为：</w:t>
      </w:r>
      <w:r>
        <w:rPr>
          <w:rFonts w:hint="eastAsia"/>
          <w:b/>
          <w:u w:val="single"/>
        </w:rPr>
        <w:t xml:space="preserve">     </w:t>
      </w:r>
      <w:r>
        <w:rPr>
          <w:rFonts w:hint="eastAsia" w:cs="宋体"/>
          <w:i/>
          <w:u w:val="single"/>
        </w:rPr>
        <w:t xml:space="preserve">（由供应商如实填写） </w:t>
      </w:r>
      <w:r>
        <w:rPr>
          <w:rFonts w:hint="eastAsia"/>
          <w:b/>
          <w:u w:val="single"/>
        </w:rPr>
        <w:t xml:space="preserve">                           </w:t>
      </w:r>
      <w:r>
        <w:rPr>
          <w:rFonts w:hint="eastAsia"/>
          <w:b/>
        </w:rPr>
        <w:t>。</w:t>
      </w:r>
    </w:p>
    <w:p w14:paraId="530FC0D7">
      <w:pPr>
        <w:snapToGrid w:val="0"/>
        <w:spacing w:line="324" w:lineRule="auto"/>
        <w:ind w:left="400"/>
        <w:rPr>
          <w:b/>
        </w:rPr>
      </w:pPr>
      <w:r>
        <w:rPr>
          <w:rFonts w:hint="eastAsia"/>
          <w:b/>
        </w:rPr>
        <w:t>2）与我方存在控股、管理关系的其他单位的名称：</w:t>
      </w:r>
    </w:p>
    <w:p w14:paraId="5D84742E">
      <w:pPr>
        <w:snapToGrid w:val="0"/>
        <w:spacing w:line="324" w:lineRule="auto"/>
        <w:ind w:left="456" w:leftChars="190" w:firstLine="236" w:firstLineChars="98"/>
        <w:rPr>
          <w:b/>
        </w:rPr>
      </w:pPr>
      <w:r>
        <w:rPr>
          <w:rFonts w:hint="eastAsia"/>
          <w:b/>
        </w:rPr>
        <w:t xml:space="preserve">□无；□有，具体单位名称为： </w:t>
      </w:r>
      <w:r>
        <w:rPr>
          <w:rFonts w:hint="eastAsia"/>
          <w:b/>
          <w:u w:val="single"/>
        </w:rPr>
        <w:t xml:space="preserve">      </w:t>
      </w:r>
      <w:r>
        <w:rPr>
          <w:rFonts w:hint="eastAsia" w:cs="宋体"/>
          <w:i/>
          <w:u w:val="single"/>
        </w:rPr>
        <w:t xml:space="preserve">（由供应商如实填写） </w:t>
      </w:r>
      <w:r>
        <w:rPr>
          <w:rFonts w:hint="eastAsia"/>
          <w:b/>
          <w:u w:val="single"/>
        </w:rPr>
        <w:t xml:space="preserve">                         </w:t>
      </w:r>
      <w:r>
        <w:rPr>
          <w:rFonts w:hint="eastAsia"/>
          <w:b/>
        </w:rPr>
        <w:t>。</w:t>
      </w:r>
    </w:p>
    <w:p w14:paraId="5ED4323A">
      <w:pPr>
        <w:snapToGrid w:val="0"/>
        <w:spacing w:line="324" w:lineRule="auto"/>
        <w:ind w:left="400"/>
        <w:rPr>
          <w:b/>
        </w:rPr>
      </w:pPr>
      <w:r>
        <w:rPr>
          <w:rFonts w:hint="eastAsia"/>
          <w:b/>
        </w:rPr>
        <w:t>3）参与本项目采购活动前，是否为本项目前期准备提供过整体设计、规范编制或者项目管理、监理、检测等服务：</w:t>
      </w:r>
    </w:p>
    <w:p w14:paraId="208652A7">
      <w:pPr>
        <w:snapToGrid w:val="0"/>
        <w:spacing w:line="324" w:lineRule="auto"/>
        <w:ind w:left="456" w:leftChars="190" w:firstLine="236" w:firstLineChars="98"/>
        <w:rPr>
          <w:b/>
        </w:rPr>
      </w:pPr>
      <w:r>
        <w:rPr>
          <w:rFonts w:hint="eastAsia" w:cs="Arial"/>
          <w:b/>
          <w:bdr w:val="single" w:color="auto" w:sz="4" w:space="0"/>
        </w:rPr>
        <w:t>√</w:t>
      </w:r>
      <w:r>
        <w:rPr>
          <w:rFonts w:hint="eastAsia"/>
          <w:b/>
        </w:rPr>
        <w:t xml:space="preserve">无；□有，已提供的具体服务内容为： </w:t>
      </w:r>
      <w:r>
        <w:rPr>
          <w:rFonts w:hint="eastAsia"/>
          <w:b/>
          <w:u w:val="single"/>
        </w:rPr>
        <w:t xml:space="preserve">      </w:t>
      </w:r>
      <w:r>
        <w:rPr>
          <w:rFonts w:hint="eastAsia" w:cs="宋体"/>
          <w:i/>
          <w:u w:val="single"/>
        </w:rPr>
        <w:t xml:space="preserve">（由供应商如实填写） </w:t>
      </w:r>
      <w:r>
        <w:rPr>
          <w:rFonts w:hint="eastAsia"/>
          <w:b/>
          <w:u w:val="single"/>
        </w:rPr>
        <w:t xml:space="preserve">    </w:t>
      </w:r>
      <w:r>
        <w:rPr>
          <w:rFonts w:hint="eastAsia"/>
          <w:b/>
        </w:rPr>
        <w:t>。</w:t>
      </w:r>
    </w:p>
    <w:p w14:paraId="36583E52">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3423C404">
      <w:pPr>
        <w:autoSpaceDE w:val="0"/>
        <w:autoSpaceDN w:val="0"/>
        <w:adjustRightInd w:val="0"/>
        <w:snapToGrid w:val="0"/>
        <w:ind w:firstLine="480" w:firstLineChars="200"/>
        <w:rPr>
          <w:rFonts w:cs="宋体"/>
        </w:rPr>
      </w:pPr>
      <w:r>
        <w:rPr>
          <w:rFonts w:hint="eastAsia" w:cs="宋体"/>
        </w:rPr>
        <w:t>其它承诺：如有的话，可自行填写。</w:t>
      </w:r>
    </w:p>
    <w:p w14:paraId="4CB76B35">
      <w:pPr>
        <w:autoSpaceDE w:val="0"/>
        <w:autoSpaceDN w:val="0"/>
        <w:adjustRightInd w:val="0"/>
        <w:snapToGrid w:val="0"/>
        <w:ind w:firstLine="480" w:firstLineChars="200"/>
        <w:rPr>
          <w:rFonts w:cs="宋体"/>
        </w:rPr>
      </w:pPr>
      <w:r>
        <w:rPr>
          <w:rFonts w:hint="eastAsia" w:cs="宋体"/>
        </w:rPr>
        <w:t>在此，我方宣布同意如下：</w:t>
      </w:r>
    </w:p>
    <w:p w14:paraId="020129B8">
      <w:pPr>
        <w:numPr>
          <w:ilvl w:val="6"/>
          <w:numId w:val="28"/>
        </w:numPr>
        <w:tabs>
          <w:tab w:val="left" w:pos="840"/>
        </w:tabs>
        <w:autoSpaceDE w:val="0"/>
        <w:autoSpaceDN w:val="0"/>
        <w:adjustRightInd w:val="0"/>
        <w:snapToGrid w:val="0"/>
        <w:ind w:left="0" w:firstLine="480" w:firstLineChars="200"/>
        <w:jc w:val="both"/>
        <w:rPr>
          <w:rFonts w:cs="宋体"/>
        </w:rPr>
      </w:pPr>
      <w:r>
        <w:rPr>
          <w:rFonts w:hint="eastAsia" w:cs="宋体"/>
        </w:rPr>
        <w:t>所附《报价一览表》中规定的标的报价总价为</w:t>
      </w:r>
      <w:r>
        <w:rPr>
          <w:rFonts w:hint="eastAsia" w:cs="宋体"/>
          <w:u w:val="single"/>
        </w:rPr>
        <w:t xml:space="preserve">              </w:t>
      </w:r>
      <w:r>
        <w:rPr>
          <w:rFonts w:hint="eastAsia" w:cs="宋体"/>
          <w:i/>
          <w:u w:val="single"/>
        </w:rPr>
        <w:t xml:space="preserve">（注明币种，并用文字和数字表示的报价总价） </w:t>
      </w:r>
      <w:r>
        <w:rPr>
          <w:rFonts w:hint="eastAsia" w:cs="宋体"/>
          <w:u w:val="single"/>
        </w:rPr>
        <w:t xml:space="preserve">         </w:t>
      </w:r>
      <w:r>
        <w:rPr>
          <w:rFonts w:hint="eastAsia" w:cs="宋体"/>
        </w:rPr>
        <w:t>。</w:t>
      </w:r>
    </w:p>
    <w:p w14:paraId="13FB6D22">
      <w:pPr>
        <w:numPr>
          <w:ilvl w:val="6"/>
          <w:numId w:val="28"/>
        </w:numPr>
        <w:tabs>
          <w:tab w:val="left" w:pos="840"/>
        </w:tabs>
        <w:autoSpaceDE w:val="0"/>
        <w:autoSpaceDN w:val="0"/>
        <w:adjustRightInd w:val="0"/>
        <w:snapToGrid w:val="0"/>
        <w:ind w:left="0" w:firstLine="480" w:firstLineChars="200"/>
        <w:jc w:val="both"/>
        <w:rPr>
          <w:rFonts w:cs="宋体"/>
        </w:rPr>
      </w:pPr>
      <w:r>
        <w:rPr>
          <w:rFonts w:hint="eastAsia" w:cs="宋体"/>
        </w:rPr>
        <w:t>将按磋商文件的约定履行合同责任和义务。</w:t>
      </w:r>
    </w:p>
    <w:p w14:paraId="6B4BD395">
      <w:pPr>
        <w:numPr>
          <w:ilvl w:val="6"/>
          <w:numId w:val="28"/>
        </w:numPr>
        <w:tabs>
          <w:tab w:val="left" w:pos="840"/>
        </w:tabs>
        <w:autoSpaceDE w:val="0"/>
        <w:autoSpaceDN w:val="0"/>
        <w:adjustRightInd w:val="0"/>
        <w:snapToGrid w:val="0"/>
        <w:ind w:left="0" w:firstLine="480" w:firstLineChars="200"/>
        <w:jc w:val="both"/>
        <w:rPr>
          <w:rFonts w:cs="宋体"/>
        </w:rPr>
      </w:pPr>
      <w:r>
        <w:rPr>
          <w:rFonts w:hint="eastAsia" w:cs="宋体"/>
        </w:rPr>
        <w:t>已详细审查全部磋商文件，包括</w:t>
      </w:r>
      <w:r>
        <w:rPr>
          <w:rFonts w:hint="eastAsia" w:cs="宋体"/>
          <w:u w:val="single"/>
        </w:rPr>
        <w:t>（补充文件等）</w:t>
      </w:r>
      <w:r>
        <w:rPr>
          <w:rFonts w:hint="eastAsia" w:cs="宋体"/>
        </w:rPr>
        <w:t>，对此无异议。</w:t>
      </w:r>
    </w:p>
    <w:p w14:paraId="3C8C2E74">
      <w:pPr>
        <w:numPr>
          <w:ilvl w:val="6"/>
          <w:numId w:val="28"/>
        </w:numPr>
        <w:tabs>
          <w:tab w:val="left" w:pos="840"/>
        </w:tabs>
        <w:autoSpaceDE w:val="0"/>
        <w:autoSpaceDN w:val="0"/>
        <w:adjustRightInd w:val="0"/>
        <w:snapToGrid w:val="0"/>
        <w:ind w:left="0" w:firstLine="480" w:firstLineChars="200"/>
        <w:jc w:val="both"/>
        <w:rPr>
          <w:rFonts w:cs="宋体"/>
        </w:rPr>
      </w:pPr>
      <w:r>
        <w:rPr>
          <w:rFonts w:hint="eastAsia" w:cs="宋体"/>
        </w:rPr>
        <w:t>本竞争性磋商响应文件的有效期自提交响应文件之日起共</w:t>
      </w:r>
      <w:r>
        <w:rPr>
          <w:rFonts w:hint="eastAsia" w:cs="宋体"/>
          <w:u w:val="single"/>
        </w:rPr>
        <w:t xml:space="preserve">               </w:t>
      </w:r>
      <w:r>
        <w:rPr>
          <w:rFonts w:hint="eastAsia" w:cs="宋体"/>
          <w:i/>
          <w:u w:val="single"/>
        </w:rPr>
        <w:t xml:space="preserve">（由供应商填写）  </w:t>
      </w:r>
      <w:r>
        <w:rPr>
          <w:rFonts w:hint="eastAsia" w:cs="宋体"/>
          <w:u w:val="single"/>
        </w:rPr>
        <w:t xml:space="preserve">          </w:t>
      </w:r>
      <w:r>
        <w:rPr>
          <w:rFonts w:hint="eastAsia" w:cs="宋体"/>
        </w:rPr>
        <w:t>个日历日。</w:t>
      </w:r>
    </w:p>
    <w:p w14:paraId="6A5CB17A">
      <w:pPr>
        <w:numPr>
          <w:ilvl w:val="6"/>
          <w:numId w:val="28"/>
        </w:numPr>
        <w:tabs>
          <w:tab w:val="left" w:pos="840"/>
        </w:tabs>
        <w:autoSpaceDE w:val="0"/>
        <w:autoSpaceDN w:val="0"/>
        <w:adjustRightInd w:val="0"/>
        <w:snapToGrid w:val="0"/>
        <w:ind w:left="0" w:firstLine="480" w:firstLineChars="200"/>
        <w:jc w:val="both"/>
        <w:rPr>
          <w:rFonts w:cs="宋体"/>
        </w:rPr>
      </w:pPr>
      <w:r>
        <w:rPr>
          <w:rFonts w:hint="eastAsia" w:cs="宋体"/>
        </w:rPr>
        <w:t>如果我方为成交供应商，承诺按照磋商文件的规定支付采购代理服务费。</w:t>
      </w:r>
    </w:p>
    <w:p w14:paraId="7B4A4F22">
      <w:pPr>
        <w:numPr>
          <w:ilvl w:val="6"/>
          <w:numId w:val="28"/>
        </w:numPr>
        <w:tabs>
          <w:tab w:val="left" w:pos="840"/>
        </w:tabs>
        <w:autoSpaceDE w:val="0"/>
        <w:autoSpaceDN w:val="0"/>
        <w:adjustRightInd w:val="0"/>
        <w:snapToGrid w:val="0"/>
        <w:ind w:left="0" w:firstLine="480" w:firstLineChars="200"/>
        <w:jc w:val="both"/>
        <w:rPr>
          <w:rFonts w:cs="宋体"/>
        </w:rPr>
      </w:pPr>
      <w:bookmarkStart w:id="575" w:name="_Hlk161702507"/>
      <w:r>
        <w:rPr>
          <w:rFonts w:hint="eastAsia"/>
          <w:szCs w:val="24"/>
        </w:rPr>
        <w:t>我方在本响应文件中所提供的全部资料均真实有效，我方承诺对其真实性负责并承担相应后果。</w:t>
      </w:r>
      <w:r>
        <w:rPr>
          <w:rFonts w:hint="eastAsia" w:cs="宋体"/>
        </w:rPr>
        <w:t>。</w:t>
      </w:r>
    </w:p>
    <w:p w14:paraId="7636DE08">
      <w:pPr>
        <w:numPr>
          <w:ilvl w:val="6"/>
          <w:numId w:val="28"/>
        </w:numPr>
        <w:tabs>
          <w:tab w:val="left" w:pos="840"/>
        </w:tabs>
        <w:autoSpaceDE w:val="0"/>
        <w:autoSpaceDN w:val="0"/>
        <w:adjustRightInd w:val="0"/>
        <w:snapToGrid w:val="0"/>
        <w:ind w:left="0" w:firstLine="480" w:firstLineChars="200"/>
        <w:jc w:val="both"/>
        <w:rPr>
          <w:rFonts w:cs="宋体"/>
        </w:rPr>
      </w:pPr>
      <w:bookmarkStart w:id="576" w:name="_Hlk161604053"/>
      <w:r>
        <w:rPr>
          <w:rFonts w:hint="eastAsia"/>
          <w:szCs w:val="24"/>
        </w:rPr>
        <w:t>我方承诺本《响应函》的签章对本响应文件全部内容具有约束力并承担法律责任。</w:t>
      </w:r>
      <w:bookmarkEnd w:id="576"/>
    </w:p>
    <w:bookmarkEnd w:id="575"/>
    <w:p w14:paraId="29A327CD">
      <w:pPr>
        <w:autoSpaceDE w:val="0"/>
        <w:autoSpaceDN w:val="0"/>
        <w:adjustRightInd w:val="0"/>
        <w:snapToGrid w:val="0"/>
        <w:ind w:firstLine="480" w:firstLineChars="200"/>
        <w:rPr>
          <w:rFonts w:cs="宋体"/>
        </w:rPr>
      </w:pPr>
    </w:p>
    <w:p w14:paraId="78928BF5">
      <w:pPr>
        <w:autoSpaceDE w:val="0"/>
        <w:autoSpaceDN w:val="0"/>
        <w:adjustRightInd w:val="0"/>
        <w:snapToGrid w:val="0"/>
        <w:ind w:firstLine="480" w:firstLineChars="200"/>
        <w:rPr>
          <w:rFonts w:cs="宋体"/>
        </w:rPr>
      </w:pPr>
      <w:r>
        <w:rPr>
          <w:rFonts w:hint="eastAsia" w:cs="宋体"/>
        </w:rPr>
        <w:t>供    应    商：（公章）</w:t>
      </w:r>
    </w:p>
    <w:p w14:paraId="202273D9">
      <w:pPr>
        <w:autoSpaceDE w:val="0"/>
        <w:autoSpaceDN w:val="0"/>
        <w:adjustRightInd w:val="0"/>
        <w:snapToGrid w:val="0"/>
        <w:ind w:firstLine="480" w:firstLineChars="200"/>
        <w:rPr>
          <w:rFonts w:cs="宋体"/>
        </w:rPr>
      </w:pPr>
      <w:r>
        <w:rPr>
          <w:rFonts w:hint="eastAsia" w:cs="宋体"/>
        </w:rPr>
        <w:t>通  讯  地  址：</w:t>
      </w:r>
    </w:p>
    <w:p w14:paraId="35510FC2">
      <w:pPr>
        <w:autoSpaceDE w:val="0"/>
        <w:autoSpaceDN w:val="0"/>
        <w:adjustRightInd w:val="0"/>
        <w:snapToGrid w:val="0"/>
        <w:ind w:firstLine="480" w:firstLineChars="200"/>
        <w:rPr>
          <w:rFonts w:cs="宋体"/>
        </w:rPr>
      </w:pPr>
      <w:r>
        <w:rPr>
          <w:rFonts w:hint="eastAsia" w:cs="宋体"/>
        </w:rPr>
        <w:t>传        　真：</w:t>
      </w:r>
    </w:p>
    <w:p w14:paraId="48E1E02F">
      <w:pPr>
        <w:autoSpaceDE w:val="0"/>
        <w:autoSpaceDN w:val="0"/>
        <w:adjustRightInd w:val="0"/>
        <w:snapToGrid w:val="0"/>
        <w:ind w:firstLine="480" w:firstLineChars="200"/>
        <w:rPr>
          <w:rFonts w:cs="宋体"/>
        </w:rPr>
      </w:pPr>
      <w:r>
        <w:rPr>
          <w:rFonts w:hint="eastAsia" w:cs="宋体"/>
        </w:rPr>
        <w:t>电          话：</w:t>
      </w:r>
    </w:p>
    <w:p w14:paraId="02C56846">
      <w:pPr>
        <w:autoSpaceDE w:val="0"/>
        <w:autoSpaceDN w:val="0"/>
        <w:adjustRightInd w:val="0"/>
        <w:snapToGrid w:val="0"/>
        <w:ind w:firstLine="480" w:firstLineChars="200"/>
        <w:rPr>
          <w:rFonts w:cs="宋体"/>
        </w:rPr>
      </w:pPr>
      <w:r>
        <w:rPr>
          <w:rFonts w:hint="eastAsia" w:cs="宋体"/>
        </w:rPr>
        <w:t>电  子  函  件：</w:t>
      </w:r>
    </w:p>
    <w:p w14:paraId="26FC5F41">
      <w:pPr>
        <w:autoSpaceDE w:val="0"/>
        <w:autoSpaceDN w:val="0"/>
        <w:adjustRightInd w:val="0"/>
        <w:snapToGrid w:val="0"/>
        <w:ind w:firstLine="480" w:firstLineChars="200"/>
        <w:rPr>
          <w:rFonts w:cs="宋体"/>
        </w:rPr>
      </w:pPr>
      <w:r>
        <w:rPr>
          <w:rFonts w:hint="eastAsia" w:cs="宋体"/>
        </w:rPr>
        <w:t xml:space="preserve">授 </w:t>
      </w:r>
      <w:r>
        <w:rPr>
          <w:rFonts w:cs="宋体"/>
        </w:rPr>
        <w:t xml:space="preserve"> </w:t>
      </w:r>
      <w:r>
        <w:rPr>
          <w:rFonts w:hint="eastAsia" w:cs="宋体"/>
        </w:rPr>
        <w:t xml:space="preserve">权 </w:t>
      </w:r>
      <w:r>
        <w:rPr>
          <w:rFonts w:cs="宋体"/>
        </w:rPr>
        <w:t xml:space="preserve"> </w:t>
      </w:r>
      <w:r>
        <w:rPr>
          <w:rFonts w:hint="eastAsia" w:cs="宋体"/>
        </w:rPr>
        <w:t>代  表：</w:t>
      </w:r>
    </w:p>
    <w:p w14:paraId="57F55D42">
      <w:pPr>
        <w:ind w:firstLine="420"/>
        <w:rPr>
          <w:rFonts w:cs="宋体"/>
        </w:rPr>
      </w:pPr>
      <w:r>
        <w:rPr>
          <w:rFonts w:hint="eastAsia" w:cs="宋体"/>
        </w:rPr>
        <w:t>日         期：</w:t>
      </w:r>
    </w:p>
    <w:p w14:paraId="5D825917">
      <w:pPr>
        <w:ind w:firstLine="420"/>
        <w:rPr>
          <w:rFonts w:cs="宋体"/>
        </w:rPr>
      </w:pPr>
      <w:r>
        <w:rPr>
          <w:rFonts w:cs="宋体"/>
        </w:rPr>
        <w:br w:type="page"/>
      </w:r>
    </w:p>
    <w:p w14:paraId="325B78DF">
      <w:pPr>
        <w:pStyle w:val="4"/>
        <w:numPr>
          <w:ilvl w:val="0"/>
          <w:numId w:val="26"/>
        </w:numPr>
      </w:pPr>
      <w:bookmarkStart w:id="577" w:name="_Toc163493645"/>
      <w:bookmarkStart w:id="578" w:name="_Toc4100"/>
      <w:bookmarkStart w:id="579" w:name="_Toc19598"/>
      <w:bookmarkStart w:id="580" w:name="_Hlk158370162"/>
      <w:r>
        <w:rPr>
          <w:rFonts w:hint="eastAsia"/>
        </w:rPr>
        <w:t>法定代表人（负责人）身份证明</w:t>
      </w:r>
      <w:bookmarkEnd w:id="577"/>
      <w:bookmarkEnd w:id="578"/>
      <w:bookmarkEnd w:id="579"/>
    </w:p>
    <w:p w14:paraId="6F17FF86">
      <w:pPr>
        <w:ind w:firstLine="480" w:firstLineChars="200"/>
        <w:rPr>
          <w:rFonts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14:paraId="04FBC195">
      <w:pPr>
        <w:ind w:firstLine="480" w:firstLineChars="200"/>
        <w:rPr>
          <w:rFonts w:cs="仿宋_GB2312"/>
        </w:rPr>
      </w:pPr>
      <w:r>
        <w:rPr>
          <w:rFonts w:hint="eastAsia" w:cs="仿宋_GB2312"/>
        </w:rPr>
        <w:t xml:space="preserve">单位性质：                                       </w:t>
      </w:r>
    </w:p>
    <w:p w14:paraId="761ED3C8">
      <w:pPr>
        <w:ind w:firstLine="480" w:firstLineChars="200"/>
        <w:rPr>
          <w:rFonts w:cs="仿宋_GB2312"/>
        </w:rPr>
      </w:pPr>
      <w:r>
        <w:rPr>
          <w:rFonts w:hint="eastAsia" w:cs="仿宋_GB2312"/>
        </w:rPr>
        <w:t xml:space="preserve">地    址：                                             </w:t>
      </w:r>
    </w:p>
    <w:p w14:paraId="2A9CDAD1">
      <w:pPr>
        <w:ind w:firstLine="480" w:firstLineChars="200"/>
        <w:rPr>
          <w:rFonts w:cs="仿宋_GB2312"/>
        </w:rPr>
      </w:pPr>
      <w:r>
        <w:rPr>
          <w:rFonts w:hint="eastAsia" w:cs="仿宋_GB2312"/>
        </w:rPr>
        <w:t xml:space="preserve">成立时间：  </w:t>
      </w:r>
    </w:p>
    <w:p w14:paraId="27098BBC">
      <w:pPr>
        <w:ind w:firstLine="480" w:firstLineChars="200"/>
        <w:rPr>
          <w:rFonts w:cs="仿宋_GB2312"/>
        </w:rPr>
      </w:pPr>
      <w:r>
        <w:rPr>
          <w:rFonts w:hint="eastAsia" w:cs="仿宋_GB2312"/>
        </w:rPr>
        <w:t xml:space="preserve">经营期限：                                          </w:t>
      </w:r>
    </w:p>
    <w:p w14:paraId="2F0DB48F">
      <w:pPr>
        <w:ind w:firstLine="480" w:firstLineChars="200"/>
        <w:rPr>
          <w:rFonts w:cs="仿宋_GB2312"/>
        </w:rPr>
      </w:pPr>
      <w:r>
        <w:rPr>
          <w:rFonts w:hint="eastAsia" w:cs="仿宋_GB2312"/>
        </w:rPr>
        <w:t xml:space="preserve">姓    名：                性别：                   </w:t>
      </w:r>
    </w:p>
    <w:p w14:paraId="70632068">
      <w:pPr>
        <w:ind w:firstLine="480" w:firstLineChars="200"/>
        <w:rPr>
          <w:rFonts w:cs="仿宋_GB2312"/>
        </w:rPr>
      </w:pPr>
      <w:r>
        <w:rPr>
          <w:rFonts w:hint="eastAsia" w:cs="仿宋_GB2312"/>
        </w:rPr>
        <w:t xml:space="preserve">年龄：                    职务：                     </w:t>
      </w:r>
    </w:p>
    <w:p w14:paraId="06B9CB27">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5F15B01F">
      <w:pPr>
        <w:ind w:firstLine="480" w:firstLineChars="200"/>
        <w:rPr>
          <w:rFonts w:cs="仿宋_GB2312"/>
        </w:rPr>
      </w:pPr>
      <w:r>
        <w:rPr>
          <w:rFonts w:hint="eastAsia" w:cs="仿宋_GB2312"/>
        </w:rPr>
        <w:t>特此证明。</w:t>
      </w:r>
    </w:p>
    <w:p w14:paraId="4B3584C8">
      <w:pPr>
        <w:ind w:firstLine="480" w:firstLineChars="200"/>
        <w:rPr>
          <w:rFonts w:cs="仿宋_GB2312"/>
        </w:rPr>
      </w:pPr>
    </w:p>
    <w:p w14:paraId="72E480BA">
      <w:pPr>
        <w:widowControl/>
      </w:pPr>
    </w:p>
    <w:p w14:paraId="2EF7C1A6">
      <w:pPr>
        <w:ind w:firstLine="480" w:firstLineChars="200"/>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1DDF985E">
      <w:pPr>
        <w:ind w:firstLine="480" w:firstLineChars="200"/>
        <w:rPr>
          <w:rFonts w:cs="仿宋_GB2312"/>
        </w:rPr>
      </w:pPr>
      <w:r>
        <w:rPr>
          <w:rFonts w:hint="eastAsia" w:cs="仿宋_GB2312"/>
        </w:rPr>
        <w:t>日      期：   年  月  日</w:t>
      </w:r>
    </w:p>
    <w:p w14:paraId="6703F6EE">
      <w:pPr>
        <w:rPr>
          <w:rFonts w:cs="Arial"/>
          <w:szCs w:val="21"/>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00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661CCDE9">
            <w:pPr>
              <w:rPr>
                <w:rFonts w:cs="Arial"/>
              </w:rPr>
            </w:pPr>
            <w:r>
              <w:rPr>
                <w:rFonts w:hint="eastAsia" w:cs="仿宋_GB2312"/>
              </w:rPr>
              <w:t>附：法定代表人</w:t>
            </w:r>
            <w:r>
              <w:rPr>
                <w:rFonts w:hint="eastAsia"/>
              </w:rPr>
              <w:t>（负责人）</w:t>
            </w:r>
            <w:r>
              <w:rPr>
                <w:rFonts w:hint="eastAsia" w:cs="仿宋_GB2312"/>
              </w:rPr>
              <w:t>身份证复印件</w:t>
            </w:r>
          </w:p>
        </w:tc>
      </w:tr>
    </w:tbl>
    <w:p w14:paraId="63975A83">
      <w:r>
        <w:br w:type="page"/>
      </w:r>
    </w:p>
    <w:p w14:paraId="2BCD804E">
      <w:pPr>
        <w:pStyle w:val="4"/>
        <w:numPr>
          <w:ilvl w:val="0"/>
          <w:numId w:val="26"/>
        </w:numPr>
      </w:pPr>
      <w:bookmarkStart w:id="581" w:name="_Toc30427"/>
      <w:bookmarkStart w:id="582" w:name="_Toc163493646"/>
      <w:bookmarkStart w:id="583" w:name="_Toc23447"/>
      <w:r>
        <w:rPr>
          <w:rFonts w:hint="eastAsia"/>
        </w:rPr>
        <w:t>法定代表人（负责人）授权书</w:t>
      </w:r>
      <w:bookmarkEnd w:id="581"/>
      <w:bookmarkEnd w:id="582"/>
      <w:bookmarkEnd w:id="583"/>
    </w:p>
    <w:p w14:paraId="1292E8E7">
      <w:pPr>
        <w:ind w:firstLine="480" w:firstLineChars="200"/>
        <w:rPr>
          <w:rFonts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14:paraId="0F42F3C4">
      <w:pPr>
        <w:ind w:firstLine="480" w:firstLineChars="200"/>
        <w:rPr>
          <w:rFonts w:cs="仿宋_GB2312"/>
        </w:rPr>
      </w:pPr>
      <w:r>
        <w:rPr>
          <w:rFonts w:hint="eastAsia" w:cs="仿宋_GB2312"/>
        </w:rPr>
        <w:t xml:space="preserve">委托期限：                   </w:t>
      </w:r>
    </w:p>
    <w:p w14:paraId="03471D39">
      <w:pPr>
        <w:ind w:firstLine="480" w:firstLineChars="200"/>
        <w:rPr>
          <w:rFonts w:cs="仿宋_GB2312"/>
        </w:rPr>
      </w:pPr>
      <w:r>
        <w:rPr>
          <w:rFonts w:hint="eastAsia" w:cs="仿宋_GB2312"/>
        </w:rPr>
        <w:t>代理人无转委托权。</w:t>
      </w:r>
    </w:p>
    <w:p w14:paraId="046AF458">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06DB93B6">
      <w:pPr>
        <w:ind w:firstLine="480" w:firstLineChars="200"/>
        <w:rPr>
          <w:rFonts w:cs="仿宋_GB2312"/>
        </w:rPr>
      </w:pPr>
    </w:p>
    <w:p w14:paraId="43286BB9">
      <w:pPr>
        <w:ind w:firstLine="480" w:firstLineChars="200"/>
        <w:rPr>
          <w:rFonts w:cs="仿宋_GB2312"/>
        </w:rPr>
      </w:pPr>
      <w:r>
        <w:rPr>
          <w:rFonts w:hint="eastAsia" w:cs="仿宋_GB2312"/>
        </w:rPr>
        <w:t>供应商：</w:t>
      </w:r>
      <w:r>
        <w:rPr>
          <w:rFonts w:hint="eastAsia" w:cs="仿宋_GB2312"/>
          <w:u w:val="single"/>
        </w:rPr>
        <w:t xml:space="preserve">                           </w:t>
      </w:r>
      <w:r>
        <w:rPr>
          <w:rFonts w:hint="eastAsia" w:cs="仿宋_GB2312"/>
        </w:rPr>
        <w:t>（盖单位章）</w:t>
      </w:r>
    </w:p>
    <w:p w14:paraId="7D343FDA">
      <w:pPr>
        <w:ind w:firstLine="480" w:firstLineChars="200"/>
        <w:rPr>
          <w:rFonts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r>
        <w:rPr>
          <w:rFonts w:hint="eastAsia" w:cs="仿宋_GB2312"/>
        </w:rPr>
        <w:t xml:space="preserve"> </w:t>
      </w:r>
    </w:p>
    <w:p w14:paraId="70892457">
      <w:pPr>
        <w:ind w:firstLine="480" w:firstLineChars="200"/>
        <w:rPr>
          <w:rFonts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14:paraId="38F781CB">
      <w:pPr>
        <w:ind w:firstLine="480" w:firstLineChars="200"/>
        <w:rPr>
          <w:rFonts w:cs="仿宋_GB2312"/>
        </w:rPr>
      </w:pPr>
      <w:r>
        <w:rPr>
          <w:rFonts w:hint="eastAsia" w:cs="仿宋_GB2312"/>
        </w:rPr>
        <w:t>委托代理人：</w:t>
      </w:r>
      <w:r>
        <w:rPr>
          <w:rFonts w:hint="eastAsia" w:cs="仿宋_GB2312"/>
          <w:u w:val="single"/>
        </w:rPr>
        <w:t xml:space="preserve">                         </w:t>
      </w:r>
      <w:r>
        <w:rPr>
          <w:rFonts w:hint="eastAsia" w:cs="仿宋_GB2312"/>
        </w:rPr>
        <w:t xml:space="preserve"> </w:t>
      </w:r>
    </w:p>
    <w:p w14:paraId="2BD00C16">
      <w:pPr>
        <w:ind w:firstLine="480" w:firstLineChars="200"/>
        <w:rPr>
          <w:rFonts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14:paraId="4DAE571C">
      <w:pPr>
        <w:ind w:firstLine="480" w:firstLineChars="200"/>
        <w:rPr>
          <w:rFonts w:cs="仿宋_GB2312"/>
        </w:rPr>
      </w:pPr>
      <w:r>
        <w:rPr>
          <w:rFonts w:hint="eastAsia" w:cs="仿宋_GB2312"/>
        </w:rPr>
        <w:t>日      期：</w:t>
      </w:r>
    </w:p>
    <w:p w14:paraId="41969F5F">
      <w:pPr>
        <w:autoSpaceDE w:val="0"/>
        <w:autoSpaceDN w:val="0"/>
        <w:adjustRightInd w:val="0"/>
        <w:spacing w:line="300" w:lineRule="auto"/>
        <w:ind w:right="480" w:firstLine="4560" w:firstLineChars="1900"/>
        <w:rPr>
          <w:rFonts w:cs="Arial"/>
          <w:szCs w:val="21"/>
        </w:rPr>
      </w:pPr>
    </w:p>
    <w:p w14:paraId="7D1AD9A9">
      <w:pPr>
        <w:rPr>
          <w:rFonts w:cs="Arial"/>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D1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52AA9EB8">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674077AB">
      <w:pPr>
        <w:ind w:left="0" w:leftChars="0" w:firstLine="0" w:firstLineChars="0"/>
        <w:rPr>
          <w:rFonts w:cs="Arial"/>
          <w:szCs w:val="32"/>
        </w:rPr>
      </w:pPr>
      <w:r>
        <w:br w:type="page"/>
      </w:r>
    </w:p>
    <w:bookmarkEnd w:id="580"/>
    <w:p w14:paraId="5521EC9A">
      <w:pPr>
        <w:sectPr>
          <w:pgSz w:w="11906" w:h="16838"/>
          <w:pgMar w:top="1440" w:right="1800" w:bottom="1440" w:left="1800" w:header="851" w:footer="992" w:gutter="0"/>
          <w:cols w:space="425" w:num="1"/>
          <w:docGrid w:type="lines" w:linePitch="312" w:charSpace="0"/>
        </w:sectPr>
      </w:pPr>
    </w:p>
    <w:p w14:paraId="7A519F88">
      <w:pPr>
        <w:pStyle w:val="3"/>
        <w:numPr>
          <w:ilvl w:val="0"/>
          <w:numId w:val="25"/>
        </w:numPr>
      </w:pPr>
      <w:bookmarkStart w:id="584" w:name="_Toc10395"/>
      <w:bookmarkStart w:id="585" w:name="_Toc3491"/>
      <w:bookmarkStart w:id="586" w:name="_Toc8736"/>
      <w:bookmarkStart w:id="587" w:name="_Toc163493649"/>
      <w:bookmarkStart w:id="588" w:name="_Hlk158370321"/>
      <w:r>
        <w:rPr>
          <w:rFonts w:hint="eastAsia"/>
        </w:rPr>
        <w:t>报价部分</w:t>
      </w:r>
      <w:bookmarkEnd w:id="584"/>
      <w:bookmarkEnd w:id="585"/>
      <w:bookmarkEnd w:id="586"/>
      <w:bookmarkEnd w:id="587"/>
    </w:p>
    <w:p w14:paraId="7E7E25C8">
      <w:pPr>
        <w:pStyle w:val="4"/>
        <w:numPr>
          <w:ilvl w:val="0"/>
          <w:numId w:val="29"/>
        </w:numPr>
      </w:pPr>
      <w:bookmarkStart w:id="589" w:name="_Toc163493650"/>
      <w:bookmarkStart w:id="590" w:name="_Toc14559"/>
      <w:bookmarkStart w:id="591" w:name="_Toc10947"/>
      <w:r>
        <w:rPr>
          <w:rFonts w:hint="eastAsia"/>
        </w:rPr>
        <w:t>报价一览表</w:t>
      </w:r>
      <w:bookmarkEnd w:id="589"/>
      <w:bookmarkEnd w:id="590"/>
      <w:bookmarkEnd w:id="591"/>
    </w:p>
    <w:p w14:paraId="20EC8B5A">
      <w:pPr>
        <w:tabs>
          <w:tab w:val="left" w:pos="3533"/>
        </w:tabs>
        <w:spacing w:line="300" w:lineRule="auto"/>
      </w:pPr>
    </w:p>
    <w:p w14:paraId="2B0ED4DD">
      <w:pPr>
        <w:rPr>
          <w:color w:val="FF0000"/>
        </w:rPr>
      </w:pPr>
      <w:r>
        <w:rPr>
          <w:rFonts w:hint="eastAsia"/>
          <w:color w:val="FF0000"/>
        </w:rPr>
        <w:t>【适用于</w:t>
      </w:r>
      <w:r>
        <w:rPr>
          <w:rFonts w:hint="eastAsia"/>
          <w:color w:val="FF0000"/>
          <w:lang w:val="en-US" w:eastAsia="zh-CN"/>
        </w:rPr>
        <w:t>服务</w:t>
      </w:r>
      <w:r>
        <w:rPr>
          <w:rFonts w:hint="eastAsia"/>
          <w:color w:val="FF0000"/>
        </w:rPr>
        <w:t>】</w:t>
      </w:r>
    </w:p>
    <w:p w14:paraId="6B2D7BFD">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 xml:space="preserve">      </w:t>
      </w:r>
    </w:p>
    <w:p w14:paraId="1780ABBE">
      <w:pPr>
        <w:spacing w:line="300" w:lineRule="auto"/>
        <w:rPr>
          <w:rFonts w:ascii="Arial" w:hAnsi="Arial" w:cs="Arial"/>
          <w:szCs w:val="21"/>
        </w:rPr>
      </w:pP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包</w:t>
      </w:r>
      <w:r>
        <w:rPr>
          <w:rFonts w:ascii="Arial" w:hAnsi="Arial" w:cs="Arial"/>
          <w:szCs w:val="21"/>
        </w:rPr>
        <w:t>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p>
    <w:p w14:paraId="74781B62">
      <w:pPr>
        <w:spacing w:line="300" w:lineRule="auto"/>
        <w:jc w:val="right"/>
        <w:rPr>
          <w:rFonts w:ascii="Arial" w:hAnsi="Arial" w:cs="Arial"/>
          <w:szCs w:val="21"/>
        </w:rPr>
      </w:pPr>
      <w:r>
        <w:rPr>
          <w:rFonts w:ascii="Arial" w:hAnsi="Arial" w:cs="Arial"/>
          <w:szCs w:val="21"/>
        </w:rPr>
        <w:t>货币单位：人民币</w:t>
      </w:r>
    </w:p>
    <w:tbl>
      <w:tblPr>
        <w:tblStyle w:val="26"/>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528"/>
        <w:gridCol w:w="1780"/>
        <w:gridCol w:w="1914"/>
      </w:tblGrid>
      <w:tr w14:paraId="6DE6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305" w:type="dxa"/>
            <w:vAlign w:val="center"/>
          </w:tcPr>
          <w:p w14:paraId="2094598A">
            <w:pPr>
              <w:pStyle w:val="43"/>
              <w:jc w:val="center"/>
              <w:rPr>
                <w:b/>
                <w:bCs/>
              </w:rPr>
            </w:pPr>
            <w:r>
              <w:rPr>
                <w:b/>
                <w:bCs/>
              </w:rPr>
              <w:t>序号</w:t>
            </w:r>
          </w:p>
        </w:tc>
        <w:tc>
          <w:tcPr>
            <w:tcW w:w="3528" w:type="dxa"/>
            <w:vAlign w:val="center"/>
          </w:tcPr>
          <w:p w14:paraId="5B10BBF5">
            <w:pPr>
              <w:pStyle w:val="43"/>
              <w:jc w:val="center"/>
              <w:rPr>
                <w:b/>
                <w:bCs/>
              </w:rPr>
            </w:pPr>
            <w:r>
              <w:rPr>
                <w:rFonts w:hint="eastAsia"/>
                <w:b/>
                <w:bCs/>
              </w:rPr>
              <w:t>磋商报价</w:t>
            </w:r>
          </w:p>
        </w:tc>
        <w:tc>
          <w:tcPr>
            <w:tcW w:w="1780" w:type="dxa"/>
            <w:vAlign w:val="center"/>
          </w:tcPr>
          <w:p w14:paraId="2431FED6">
            <w:pPr>
              <w:pStyle w:val="43"/>
              <w:jc w:val="center"/>
              <w:rPr>
                <w:rFonts w:hint="default" w:eastAsia="宋体"/>
                <w:b/>
                <w:bCs/>
                <w:lang w:val="en-US" w:eastAsia="zh-CN"/>
              </w:rPr>
            </w:pPr>
            <w:r>
              <w:rPr>
                <w:rFonts w:hint="eastAsia"/>
                <w:b/>
                <w:bCs/>
                <w:lang w:val="en-US" w:eastAsia="zh-CN"/>
              </w:rPr>
              <w:t>合同履行期限</w:t>
            </w:r>
          </w:p>
        </w:tc>
        <w:tc>
          <w:tcPr>
            <w:tcW w:w="1914" w:type="dxa"/>
            <w:vAlign w:val="center"/>
          </w:tcPr>
          <w:p w14:paraId="285DF50F">
            <w:pPr>
              <w:pStyle w:val="43"/>
              <w:jc w:val="center"/>
              <w:rPr>
                <w:b/>
                <w:bCs/>
              </w:rPr>
            </w:pPr>
            <w:r>
              <w:rPr>
                <w:rFonts w:hint="eastAsia"/>
                <w:b/>
                <w:bCs/>
              </w:rPr>
              <w:t>备注</w:t>
            </w:r>
          </w:p>
        </w:tc>
      </w:tr>
      <w:tr w14:paraId="4BF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305" w:type="dxa"/>
            <w:vAlign w:val="center"/>
          </w:tcPr>
          <w:p w14:paraId="0CA46E4E">
            <w:pPr>
              <w:pStyle w:val="43"/>
              <w:ind w:firstLine="480"/>
            </w:pPr>
          </w:p>
        </w:tc>
        <w:tc>
          <w:tcPr>
            <w:tcW w:w="3528" w:type="dxa"/>
            <w:vAlign w:val="center"/>
          </w:tcPr>
          <w:p w14:paraId="3D1D9616">
            <w:pPr>
              <w:pStyle w:val="43"/>
              <w:ind w:firstLine="480"/>
            </w:pPr>
          </w:p>
        </w:tc>
        <w:tc>
          <w:tcPr>
            <w:tcW w:w="1780" w:type="dxa"/>
            <w:vAlign w:val="center"/>
          </w:tcPr>
          <w:p w14:paraId="1EF54118">
            <w:pPr>
              <w:pStyle w:val="43"/>
              <w:ind w:firstLine="480"/>
            </w:pPr>
          </w:p>
        </w:tc>
        <w:tc>
          <w:tcPr>
            <w:tcW w:w="1914" w:type="dxa"/>
            <w:vAlign w:val="center"/>
          </w:tcPr>
          <w:p w14:paraId="1C60D322">
            <w:pPr>
              <w:pStyle w:val="43"/>
              <w:ind w:firstLine="480"/>
            </w:pPr>
          </w:p>
        </w:tc>
      </w:tr>
    </w:tbl>
    <w:p w14:paraId="7F79E8C5">
      <w:pPr>
        <w:spacing w:line="300" w:lineRule="auto"/>
        <w:rPr>
          <w:rFonts w:ascii="Arial" w:hAnsi="Arial" w:cs="Arial"/>
          <w:szCs w:val="21"/>
          <w:u w:val="single"/>
        </w:rPr>
      </w:pPr>
    </w:p>
    <w:p w14:paraId="189620D7">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hint="eastAsia" w:cs="仿宋_GB2312"/>
        </w:rPr>
        <w:t>（盖章）</w:t>
      </w:r>
      <w:r>
        <w:rPr>
          <w:rFonts w:ascii="Arial" w:hAnsi="Arial" w:cs="Arial"/>
          <w:szCs w:val="21"/>
        </w:rPr>
        <w:t xml:space="preserve"> </w:t>
      </w:r>
    </w:p>
    <w:p w14:paraId="6F57B6E1">
      <w:pPr>
        <w:spacing w:line="300" w:lineRule="auto"/>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283B0C35">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14:paraId="3E2978A9">
      <w:pPr>
        <w:tabs>
          <w:tab w:val="left" w:pos="3533"/>
        </w:tabs>
        <w:spacing w:line="300" w:lineRule="auto"/>
      </w:pPr>
    </w:p>
    <w:p w14:paraId="07FA04EE">
      <w:pPr>
        <w:tabs>
          <w:tab w:val="left" w:pos="3533"/>
        </w:tabs>
        <w:spacing w:line="300" w:lineRule="auto"/>
      </w:pPr>
      <w:r>
        <w:br w:type="page"/>
      </w:r>
    </w:p>
    <w:p w14:paraId="2F6014B2">
      <w:pPr>
        <w:pStyle w:val="4"/>
        <w:numPr>
          <w:ilvl w:val="0"/>
          <w:numId w:val="29"/>
        </w:numPr>
      </w:pPr>
      <w:bookmarkStart w:id="592" w:name="_Toc27898"/>
      <w:bookmarkStart w:id="593" w:name="_Toc163493651"/>
      <w:bookmarkStart w:id="594" w:name="_Toc156490359"/>
      <w:bookmarkStart w:id="595" w:name="_Toc15296"/>
      <w:r>
        <w:rPr>
          <w:rFonts w:hint="eastAsia"/>
        </w:rPr>
        <w:t>分项报价表</w:t>
      </w:r>
      <w:bookmarkEnd w:id="592"/>
      <w:bookmarkEnd w:id="593"/>
      <w:bookmarkEnd w:id="594"/>
      <w:bookmarkEnd w:id="595"/>
    </w:p>
    <w:bookmarkEnd w:id="588"/>
    <w:p w14:paraId="0B0B9110">
      <w:pPr>
        <w:spacing w:line="300" w:lineRule="auto"/>
        <w:rPr>
          <w:rFonts w:cs="仿宋_GB2312"/>
          <w:szCs w:val="24"/>
        </w:rPr>
      </w:pPr>
      <w:r>
        <w:rPr>
          <w:rFonts w:hint="eastAsia" w:cs="仿宋_GB2312"/>
          <w:szCs w:val="24"/>
        </w:rPr>
        <w:t>【适用于</w:t>
      </w:r>
      <w:r>
        <w:rPr>
          <w:rFonts w:hint="eastAsia" w:cs="仿宋_GB2312"/>
          <w:szCs w:val="24"/>
          <w:lang w:val="en-US" w:eastAsia="zh-CN"/>
        </w:rPr>
        <w:t>服务</w:t>
      </w:r>
      <w:r>
        <w:rPr>
          <w:rFonts w:hint="eastAsia" w:cs="仿宋_GB2312"/>
          <w:szCs w:val="24"/>
        </w:rPr>
        <w:t>】</w:t>
      </w:r>
    </w:p>
    <w:p w14:paraId="3B88812D">
      <w:pPr>
        <w:rPr>
          <w:b/>
          <w:szCs w:val="21"/>
          <w:lang w:val="zh-CN"/>
        </w:rPr>
      </w:pPr>
      <w:r>
        <w:rPr>
          <w:rFonts w:hint="eastAsia"/>
          <w:b/>
          <w:szCs w:val="21"/>
          <w:lang w:val="zh-CN"/>
        </w:rPr>
        <w:t>项目名称：</w:t>
      </w:r>
      <w:r>
        <w:rPr>
          <w:rFonts w:hint="eastAsia"/>
          <w:b/>
          <w:szCs w:val="21"/>
          <w:u w:val="single"/>
          <w:lang w:val="zh-CN"/>
        </w:rPr>
        <w:t xml:space="preserve">                     </w:t>
      </w:r>
    </w:p>
    <w:p w14:paraId="63D28DEB">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Style w:val="26"/>
        <w:tblW w:w="9983" w:type="dxa"/>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350"/>
        <w:gridCol w:w="1767"/>
        <w:gridCol w:w="1300"/>
        <w:gridCol w:w="1666"/>
        <w:gridCol w:w="1400"/>
        <w:gridCol w:w="1550"/>
      </w:tblGrid>
      <w:tr w14:paraId="4C2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60073896">
            <w:pPr>
              <w:adjustRightInd w:val="0"/>
              <w:snapToGrid w:val="0"/>
              <w:ind w:left="0" w:leftChars="0" w:firstLine="0" w:firstLineChars="0"/>
              <w:jc w:val="both"/>
              <w:rPr>
                <w:szCs w:val="21"/>
              </w:rPr>
            </w:pPr>
            <w:r>
              <w:rPr>
                <w:rFonts w:hint="eastAsia"/>
                <w:szCs w:val="21"/>
              </w:rPr>
              <w:t>序号</w:t>
            </w:r>
          </w:p>
        </w:tc>
        <w:tc>
          <w:tcPr>
            <w:tcW w:w="1350" w:type="dxa"/>
            <w:vAlign w:val="center"/>
          </w:tcPr>
          <w:p w14:paraId="0584A7FE">
            <w:pPr>
              <w:adjustRightInd w:val="0"/>
              <w:snapToGrid w:val="0"/>
              <w:ind w:left="0" w:leftChars="0" w:firstLine="0" w:firstLineChars="0"/>
              <w:jc w:val="both"/>
              <w:rPr>
                <w:szCs w:val="21"/>
              </w:rPr>
            </w:pPr>
            <w:r>
              <w:rPr>
                <w:rFonts w:hint="eastAsia"/>
                <w:szCs w:val="21"/>
              </w:rPr>
              <w:t>项目名称</w:t>
            </w:r>
          </w:p>
        </w:tc>
        <w:tc>
          <w:tcPr>
            <w:tcW w:w="1767" w:type="dxa"/>
            <w:vAlign w:val="center"/>
          </w:tcPr>
          <w:p w14:paraId="4C0B1445">
            <w:pPr>
              <w:adjustRightInd w:val="0"/>
              <w:snapToGrid w:val="0"/>
              <w:ind w:left="0" w:leftChars="0" w:firstLine="0" w:firstLineChars="0"/>
              <w:jc w:val="both"/>
              <w:rPr>
                <w:rFonts w:hint="eastAsia"/>
                <w:szCs w:val="21"/>
              </w:rPr>
            </w:pPr>
            <w:r>
              <w:rPr>
                <w:rFonts w:hint="eastAsia"/>
                <w:szCs w:val="21"/>
              </w:rPr>
              <w:t>项目特征描述</w:t>
            </w:r>
          </w:p>
        </w:tc>
        <w:tc>
          <w:tcPr>
            <w:tcW w:w="1300" w:type="dxa"/>
            <w:vAlign w:val="center"/>
          </w:tcPr>
          <w:p w14:paraId="26CB7A97">
            <w:pPr>
              <w:adjustRightInd w:val="0"/>
              <w:snapToGrid w:val="0"/>
              <w:ind w:left="0" w:leftChars="0" w:firstLine="0" w:firstLineChars="0"/>
              <w:jc w:val="both"/>
              <w:rPr>
                <w:rFonts w:hint="default" w:eastAsia="宋体"/>
                <w:szCs w:val="21"/>
                <w:lang w:val="en-US" w:eastAsia="zh-CN"/>
              </w:rPr>
            </w:pPr>
            <w:r>
              <w:rPr>
                <w:rFonts w:hint="eastAsia"/>
                <w:szCs w:val="21"/>
                <w:lang w:val="en-US" w:eastAsia="zh-CN"/>
              </w:rPr>
              <w:t>计量单位</w:t>
            </w:r>
          </w:p>
        </w:tc>
        <w:tc>
          <w:tcPr>
            <w:tcW w:w="1666" w:type="dxa"/>
            <w:vAlign w:val="center"/>
          </w:tcPr>
          <w:p w14:paraId="4E47A0AB">
            <w:pPr>
              <w:adjustRightInd w:val="0"/>
              <w:snapToGrid w:val="0"/>
              <w:jc w:val="center"/>
              <w:rPr>
                <w:szCs w:val="21"/>
              </w:rPr>
            </w:pPr>
            <w:r>
              <w:rPr>
                <w:rFonts w:hint="eastAsia"/>
                <w:szCs w:val="21"/>
              </w:rPr>
              <w:t>数量</w:t>
            </w:r>
          </w:p>
        </w:tc>
        <w:tc>
          <w:tcPr>
            <w:tcW w:w="1400" w:type="dxa"/>
            <w:vAlign w:val="center"/>
          </w:tcPr>
          <w:p w14:paraId="1F79BBC7">
            <w:pPr>
              <w:adjustRightInd w:val="0"/>
              <w:snapToGrid w:val="0"/>
              <w:ind w:left="0" w:leftChars="0" w:firstLine="0" w:firstLineChars="0"/>
              <w:jc w:val="both"/>
              <w:rPr>
                <w:szCs w:val="21"/>
              </w:rPr>
            </w:pPr>
            <w:r>
              <w:rPr>
                <w:rFonts w:hint="eastAsia"/>
                <w:szCs w:val="21"/>
              </w:rPr>
              <w:t>单价</w:t>
            </w:r>
          </w:p>
        </w:tc>
        <w:tc>
          <w:tcPr>
            <w:tcW w:w="1550" w:type="dxa"/>
            <w:vAlign w:val="center"/>
          </w:tcPr>
          <w:p w14:paraId="230E89AE">
            <w:pPr>
              <w:adjustRightInd w:val="0"/>
              <w:snapToGrid w:val="0"/>
              <w:jc w:val="center"/>
              <w:rPr>
                <w:szCs w:val="21"/>
              </w:rPr>
            </w:pPr>
            <w:r>
              <w:rPr>
                <w:rFonts w:hint="eastAsia"/>
                <w:szCs w:val="21"/>
              </w:rPr>
              <w:t>总价</w:t>
            </w:r>
          </w:p>
        </w:tc>
      </w:tr>
      <w:tr w14:paraId="3C88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279A7828">
            <w:pPr>
              <w:adjustRightInd w:val="0"/>
              <w:snapToGrid w:val="0"/>
              <w:jc w:val="center"/>
              <w:rPr>
                <w:szCs w:val="21"/>
              </w:rPr>
            </w:pPr>
            <w:r>
              <w:rPr>
                <w:rFonts w:hint="eastAsia"/>
                <w:szCs w:val="21"/>
              </w:rPr>
              <w:t>1</w:t>
            </w:r>
          </w:p>
        </w:tc>
        <w:tc>
          <w:tcPr>
            <w:tcW w:w="1350" w:type="dxa"/>
            <w:vAlign w:val="center"/>
          </w:tcPr>
          <w:p w14:paraId="52C4780C">
            <w:pPr>
              <w:adjustRightInd w:val="0"/>
              <w:snapToGrid w:val="0"/>
              <w:jc w:val="center"/>
              <w:rPr>
                <w:szCs w:val="21"/>
              </w:rPr>
            </w:pPr>
          </w:p>
        </w:tc>
        <w:tc>
          <w:tcPr>
            <w:tcW w:w="1767" w:type="dxa"/>
            <w:vAlign w:val="center"/>
          </w:tcPr>
          <w:p w14:paraId="6C968797">
            <w:pPr>
              <w:adjustRightInd w:val="0"/>
              <w:snapToGrid w:val="0"/>
              <w:jc w:val="center"/>
              <w:rPr>
                <w:szCs w:val="21"/>
              </w:rPr>
            </w:pPr>
          </w:p>
        </w:tc>
        <w:tc>
          <w:tcPr>
            <w:tcW w:w="1300" w:type="dxa"/>
            <w:vAlign w:val="center"/>
          </w:tcPr>
          <w:p w14:paraId="1673F87D">
            <w:pPr>
              <w:adjustRightInd w:val="0"/>
              <w:snapToGrid w:val="0"/>
              <w:jc w:val="center"/>
              <w:rPr>
                <w:szCs w:val="21"/>
              </w:rPr>
            </w:pPr>
          </w:p>
        </w:tc>
        <w:tc>
          <w:tcPr>
            <w:tcW w:w="1666" w:type="dxa"/>
            <w:vAlign w:val="center"/>
          </w:tcPr>
          <w:p w14:paraId="08E609CA">
            <w:pPr>
              <w:adjustRightInd w:val="0"/>
              <w:snapToGrid w:val="0"/>
              <w:jc w:val="center"/>
              <w:rPr>
                <w:szCs w:val="21"/>
              </w:rPr>
            </w:pPr>
          </w:p>
        </w:tc>
        <w:tc>
          <w:tcPr>
            <w:tcW w:w="1400" w:type="dxa"/>
            <w:vAlign w:val="center"/>
          </w:tcPr>
          <w:p w14:paraId="2A05ADF0">
            <w:pPr>
              <w:adjustRightInd w:val="0"/>
              <w:snapToGrid w:val="0"/>
              <w:jc w:val="center"/>
              <w:rPr>
                <w:szCs w:val="21"/>
              </w:rPr>
            </w:pPr>
          </w:p>
        </w:tc>
        <w:tc>
          <w:tcPr>
            <w:tcW w:w="1550" w:type="dxa"/>
            <w:vAlign w:val="center"/>
          </w:tcPr>
          <w:p w14:paraId="742995D8">
            <w:pPr>
              <w:adjustRightInd w:val="0"/>
              <w:snapToGrid w:val="0"/>
              <w:jc w:val="center"/>
              <w:rPr>
                <w:szCs w:val="21"/>
              </w:rPr>
            </w:pPr>
          </w:p>
        </w:tc>
      </w:tr>
      <w:tr w14:paraId="0EFC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1DB12BD9">
            <w:pPr>
              <w:adjustRightInd w:val="0"/>
              <w:snapToGrid w:val="0"/>
              <w:jc w:val="center"/>
              <w:rPr>
                <w:szCs w:val="21"/>
              </w:rPr>
            </w:pPr>
            <w:r>
              <w:rPr>
                <w:rFonts w:hint="eastAsia"/>
                <w:szCs w:val="21"/>
              </w:rPr>
              <w:t>2</w:t>
            </w:r>
          </w:p>
        </w:tc>
        <w:tc>
          <w:tcPr>
            <w:tcW w:w="1350" w:type="dxa"/>
            <w:vAlign w:val="center"/>
          </w:tcPr>
          <w:p w14:paraId="2F1F1824">
            <w:pPr>
              <w:adjustRightInd w:val="0"/>
              <w:snapToGrid w:val="0"/>
              <w:jc w:val="center"/>
              <w:rPr>
                <w:szCs w:val="21"/>
              </w:rPr>
            </w:pPr>
          </w:p>
        </w:tc>
        <w:tc>
          <w:tcPr>
            <w:tcW w:w="1767" w:type="dxa"/>
            <w:vAlign w:val="center"/>
          </w:tcPr>
          <w:p w14:paraId="58F58DDC">
            <w:pPr>
              <w:adjustRightInd w:val="0"/>
              <w:snapToGrid w:val="0"/>
              <w:jc w:val="center"/>
              <w:rPr>
                <w:szCs w:val="21"/>
              </w:rPr>
            </w:pPr>
          </w:p>
        </w:tc>
        <w:tc>
          <w:tcPr>
            <w:tcW w:w="1300" w:type="dxa"/>
            <w:vAlign w:val="center"/>
          </w:tcPr>
          <w:p w14:paraId="4ED6C9C1">
            <w:pPr>
              <w:adjustRightInd w:val="0"/>
              <w:snapToGrid w:val="0"/>
              <w:jc w:val="center"/>
              <w:rPr>
                <w:szCs w:val="21"/>
              </w:rPr>
            </w:pPr>
          </w:p>
        </w:tc>
        <w:tc>
          <w:tcPr>
            <w:tcW w:w="1666" w:type="dxa"/>
            <w:vAlign w:val="center"/>
          </w:tcPr>
          <w:p w14:paraId="3CE98488">
            <w:pPr>
              <w:adjustRightInd w:val="0"/>
              <w:snapToGrid w:val="0"/>
              <w:jc w:val="center"/>
              <w:rPr>
                <w:szCs w:val="21"/>
              </w:rPr>
            </w:pPr>
          </w:p>
        </w:tc>
        <w:tc>
          <w:tcPr>
            <w:tcW w:w="1400" w:type="dxa"/>
            <w:vAlign w:val="center"/>
          </w:tcPr>
          <w:p w14:paraId="7507085F">
            <w:pPr>
              <w:adjustRightInd w:val="0"/>
              <w:snapToGrid w:val="0"/>
              <w:jc w:val="center"/>
              <w:rPr>
                <w:szCs w:val="21"/>
              </w:rPr>
            </w:pPr>
          </w:p>
        </w:tc>
        <w:tc>
          <w:tcPr>
            <w:tcW w:w="1550" w:type="dxa"/>
            <w:vAlign w:val="center"/>
          </w:tcPr>
          <w:p w14:paraId="39660E56">
            <w:pPr>
              <w:adjustRightInd w:val="0"/>
              <w:snapToGrid w:val="0"/>
              <w:jc w:val="center"/>
              <w:rPr>
                <w:szCs w:val="21"/>
              </w:rPr>
            </w:pPr>
          </w:p>
        </w:tc>
      </w:tr>
      <w:tr w14:paraId="0CE3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3B1F69CD">
            <w:pPr>
              <w:adjustRightInd w:val="0"/>
              <w:snapToGrid w:val="0"/>
              <w:jc w:val="center"/>
              <w:rPr>
                <w:szCs w:val="21"/>
              </w:rPr>
            </w:pPr>
            <w:r>
              <w:rPr>
                <w:rFonts w:hint="eastAsia"/>
                <w:szCs w:val="21"/>
              </w:rPr>
              <w:t>3</w:t>
            </w:r>
          </w:p>
        </w:tc>
        <w:tc>
          <w:tcPr>
            <w:tcW w:w="1350" w:type="dxa"/>
            <w:vAlign w:val="center"/>
          </w:tcPr>
          <w:p w14:paraId="66B910C3">
            <w:pPr>
              <w:adjustRightInd w:val="0"/>
              <w:snapToGrid w:val="0"/>
              <w:jc w:val="center"/>
              <w:rPr>
                <w:szCs w:val="21"/>
              </w:rPr>
            </w:pPr>
          </w:p>
        </w:tc>
        <w:tc>
          <w:tcPr>
            <w:tcW w:w="1767" w:type="dxa"/>
            <w:vAlign w:val="center"/>
          </w:tcPr>
          <w:p w14:paraId="19112EB0">
            <w:pPr>
              <w:adjustRightInd w:val="0"/>
              <w:snapToGrid w:val="0"/>
              <w:jc w:val="center"/>
              <w:rPr>
                <w:szCs w:val="21"/>
              </w:rPr>
            </w:pPr>
          </w:p>
        </w:tc>
        <w:tc>
          <w:tcPr>
            <w:tcW w:w="1300" w:type="dxa"/>
            <w:vAlign w:val="center"/>
          </w:tcPr>
          <w:p w14:paraId="0B8987B6">
            <w:pPr>
              <w:adjustRightInd w:val="0"/>
              <w:snapToGrid w:val="0"/>
              <w:jc w:val="center"/>
              <w:rPr>
                <w:szCs w:val="21"/>
              </w:rPr>
            </w:pPr>
          </w:p>
        </w:tc>
        <w:tc>
          <w:tcPr>
            <w:tcW w:w="1666" w:type="dxa"/>
            <w:vAlign w:val="center"/>
          </w:tcPr>
          <w:p w14:paraId="74F160B0">
            <w:pPr>
              <w:adjustRightInd w:val="0"/>
              <w:snapToGrid w:val="0"/>
              <w:jc w:val="center"/>
              <w:rPr>
                <w:szCs w:val="21"/>
              </w:rPr>
            </w:pPr>
          </w:p>
        </w:tc>
        <w:tc>
          <w:tcPr>
            <w:tcW w:w="1400" w:type="dxa"/>
            <w:vAlign w:val="center"/>
          </w:tcPr>
          <w:p w14:paraId="6C3B68B9">
            <w:pPr>
              <w:adjustRightInd w:val="0"/>
              <w:snapToGrid w:val="0"/>
              <w:jc w:val="center"/>
              <w:rPr>
                <w:szCs w:val="21"/>
              </w:rPr>
            </w:pPr>
          </w:p>
        </w:tc>
        <w:tc>
          <w:tcPr>
            <w:tcW w:w="1550" w:type="dxa"/>
            <w:vAlign w:val="center"/>
          </w:tcPr>
          <w:p w14:paraId="29A6B7CA">
            <w:pPr>
              <w:adjustRightInd w:val="0"/>
              <w:snapToGrid w:val="0"/>
              <w:jc w:val="center"/>
              <w:rPr>
                <w:szCs w:val="21"/>
              </w:rPr>
            </w:pPr>
          </w:p>
        </w:tc>
      </w:tr>
      <w:tr w14:paraId="4CE7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6BE615FF">
            <w:pPr>
              <w:adjustRightInd w:val="0"/>
              <w:snapToGrid w:val="0"/>
              <w:jc w:val="center"/>
              <w:rPr>
                <w:szCs w:val="21"/>
              </w:rPr>
            </w:pPr>
            <w:r>
              <w:rPr>
                <w:rFonts w:hint="eastAsia"/>
                <w:szCs w:val="21"/>
              </w:rPr>
              <w:t>4</w:t>
            </w:r>
          </w:p>
        </w:tc>
        <w:tc>
          <w:tcPr>
            <w:tcW w:w="1350" w:type="dxa"/>
            <w:vAlign w:val="center"/>
          </w:tcPr>
          <w:p w14:paraId="006F805F">
            <w:pPr>
              <w:adjustRightInd w:val="0"/>
              <w:snapToGrid w:val="0"/>
              <w:jc w:val="center"/>
              <w:rPr>
                <w:szCs w:val="21"/>
              </w:rPr>
            </w:pPr>
          </w:p>
        </w:tc>
        <w:tc>
          <w:tcPr>
            <w:tcW w:w="1767" w:type="dxa"/>
            <w:vAlign w:val="center"/>
          </w:tcPr>
          <w:p w14:paraId="6E35071A">
            <w:pPr>
              <w:adjustRightInd w:val="0"/>
              <w:snapToGrid w:val="0"/>
              <w:jc w:val="center"/>
              <w:rPr>
                <w:szCs w:val="21"/>
              </w:rPr>
            </w:pPr>
          </w:p>
        </w:tc>
        <w:tc>
          <w:tcPr>
            <w:tcW w:w="1300" w:type="dxa"/>
            <w:vAlign w:val="center"/>
          </w:tcPr>
          <w:p w14:paraId="7EFA024B">
            <w:pPr>
              <w:adjustRightInd w:val="0"/>
              <w:snapToGrid w:val="0"/>
              <w:jc w:val="center"/>
              <w:rPr>
                <w:szCs w:val="21"/>
              </w:rPr>
            </w:pPr>
          </w:p>
        </w:tc>
        <w:tc>
          <w:tcPr>
            <w:tcW w:w="1666" w:type="dxa"/>
            <w:vAlign w:val="center"/>
          </w:tcPr>
          <w:p w14:paraId="4991ABD0">
            <w:pPr>
              <w:adjustRightInd w:val="0"/>
              <w:snapToGrid w:val="0"/>
              <w:jc w:val="center"/>
              <w:rPr>
                <w:szCs w:val="21"/>
              </w:rPr>
            </w:pPr>
          </w:p>
        </w:tc>
        <w:tc>
          <w:tcPr>
            <w:tcW w:w="1400" w:type="dxa"/>
            <w:vAlign w:val="center"/>
          </w:tcPr>
          <w:p w14:paraId="2358DD52">
            <w:pPr>
              <w:adjustRightInd w:val="0"/>
              <w:snapToGrid w:val="0"/>
              <w:jc w:val="center"/>
              <w:rPr>
                <w:szCs w:val="21"/>
              </w:rPr>
            </w:pPr>
          </w:p>
        </w:tc>
        <w:tc>
          <w:tcPr>
            <w:tcW w:w="1550" w:type="dxa"/>
            <w:vAlign w:val="center"/>
          </w:tcPr>
          <w:p w14:paraId="6A9C46B5">
            <w:pPr>
              <w:adjustRightInd w:val="0"/>
              <w:snapToGrid w:val="0"/>
              <w:jc w:val="center"/>
              <w:rPr>
                <w:szCs w:val="21"/>
              </w:rPr>
            </w:pPr>
          </w:p>
        </w:tc>
      </w:tr>
      <w:tr w14:paraId="28F1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08BFCF5E">
            <w:pPr>
              <w:adjustRightInd w:val="0"/>
              <w:snapToGrid w:val="0"/>
              <w:jc w:val="center"/>
              <w:rPr>
                <w:szCs w:val="21"/>
              </w:rPr>
            </w:pPr>
            <w:r>
              <w:rPr>
                <w:rFonts w:hint="eastAsia"/>
                <w:szCs w:val="21"/>
              </w:rPr>
              <w:t>5</w:t>
            </w:r>
          </w:p>
        </w:tc>
        <w:tc>
          <w:tcPr>
            <w:tcW w:w="1350" w:type="dxa"/>
            <w:vAlign w:val="center"/>
          </w:tcPr>
          <w:p w14:paraId="7F0350F0">
            <w:pPr>
              <w:adjustRightInd w:val="0"/>
              <w:snapToGrid w:val="0"/>
              <w:jc w:val="center"/>
              <w:rPr>
                <w:szCs w:val="21"/>
              </w:rPr>
            </w:pPr>
          </w:p>
        </w:tc>
        <w:tc>
          <w:tcPr>
            <w:tcW w:w="1767" w:type="dxa"/>
            <w:vAlign w:val="center"/>
          </w:tcPr>
          <w:p w14:paraId="539512B7">
            <w:pPr>
              <w:adjustRightInd w:val="0"/>
              <w:snapToGrid w:val="0"/>
              <w:jc w:val="center"/>
              <w:rPr>
                <w:szCs w:val="21"/>
              </w:rPr>
            </w:pPr>
          </w:p>
        </w:tc>
        <w:tc>
          <w:tcPr>
            <w:tcW w:w="1300" w:type="dxa"/>
            <w:vAlign w:val="center"/>
          </w:tcPr>
          <w:p w14:paraId="29661B4B">
            <w:pPr>
              <w:adjustRightInd w:val="0"/>
              <w:snapToGrid w:val="0"/>
              <w:jc w:val="center"/>
              <w:rPr>
                <w:szCs w:val="21"/>
              </w:rPr>
            </w:pPr>
          </w:p>
        </w:tc>
        <w:tc>
          <w:tcPr>
            <w:tcW w:w="1666" w:type="dxa"/>
            <w:vAlign w:val="center"/>
          </w:tcPr>
          <w:p w14:paraId="2375B89A">
            <w:pPr>
              <w:adjustRightInd w:val="0"/>
              <w:snapToGrid w:val="0"/>
              <w:jc w:val="center"/>
              <w:rPr>
                <w:szCs w:val="21"/>
              </w:rPr>
            </w:pPr>
          </w:p>
        </w:tc>
        <w:tc>
          <w:tcPr>
            <w:tcW w:w="1400" w:type="dxa"/>
            <w:vAlign w:val="center"/>
          </w:tcPr>
          <w:p w14:paraId="359A79A9">
            <w:pPr>
              <w:adjustRightInd w:val="0"/>
              <w:snapToGrid w:val="0"/>
              <w:jc w:val="center"/>
              <w:rPr>
                <w:szCs w:val="21"/>
              </w:rPr>
            </w:pPr>
          </w:p>
        </w:tc>
        <w:tc>
          <w:tcPr>
            <w:tcW w:w="1550" w:type="dxa"/>
            <w:vAlign w:val="center"/>
          </w:tcPr>
          <w:p w14:paraId="66694846">
            <w:pPr>
              <w:adjustRightInd w:val="0"/>
              <w:snapToGrid w:val="0"/>
              <w:jc w:val="center"/>
              <w:rPr>
                <w:szCs w:val="21"/>
              </w:rPr>
            </w:pPr>
          </w:p>
        </w:tc>
      </w:tr>
      <w:tr w14:paraId="4741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2A0B4588">
            <w:pPr>
              <w:adjustRightInd w:val="0"/>
              <w:snapToGrid w:val="0"/>
              <w:jc w:val="center"/>
              <w:rPr>
                <w:szCs w:val="21"/>
              </w:rPr>
            </w:pPr>
            <w:r>
              <w:rPr>
                <w:rFonts w:hint="eastAsia"/>
                <w:szCs w:val="21"/>
              </w:rPr>
              <w:t>6</w:t>
            </w:r>
          </w:p>
        </w:tc>
        <w:tc>
          <w:tcPr>
            <w:tcW w:w="1350" w:type="dxa"/>
            <w:vAlign w:val="center"/>
          </w:tcPr>
          <w:p w14:paraId="376C9AD6">
            <w:pPr>
              <w:adjustRightInd w:val="0"/>
              <w:snapToGrid w:val="0"/>
              <w:jc w:val="center"/>
              <w:rPr>
                <w:szCs w:val="21"/>
              </w:rPr>
            </w:pPr>
          </w:p>
        </w:tc>
        <w:tc>
          <w:tcPr>
            <w:tcW w:w="1767" w:type="dxa"/>
            <w:vAlign w:val="center"/>
          </w:tcPr>
          <w:p w14:paraId="5E1F7E70">
            <w:pPr>
              <w:adjustRightInd w:val="0"/>
              <w:snapToGrid w:val="0"/>
              <w:jc w:val="center"/>
              <w:rPr>
                <w:szCs w:val="21"/>
              </w:rPr>
            </w:pPr>
          </w:p>
        </w:tc>
        <w:tc>
          <w:tcPr>
            <w:tcW w:w="1300" w:type="dxa"/>
            <w:vAlign w:val="center"/>
          </w:tcPr>
          <w:p w14:paraId="707253AE">
            <w:pPr>
              <w:adjustRightInd w:val="0"/>
              <w:snapToGrid w:val="0"/>
              <w:jc w:val="center"/>
              <w:rPr>
                <w:szCs w:val="21"/>
              </w:rPr>
            </w:pPr>
          </w:p>
        </w:tc>
        <w:tc>
          <w:tcPr>
            <w:tcW w:w="1666" w:type="dxa"/>
            <w:vAlign w:val="center"/>
          </w:tcPr>
          <w:p w14:paraId="1811BE75">
            <w:pPr>
              <w:adjustRightInd w:val="0"/>
              <w:snapToGrid w:val="0"/>
              <w:jc w:val="center"/>
              <w:rPr>
                <w:szCs w:val="21"/>
              </w:rPr>
            </w:pPr>
          </w:p>
        </w:tc>
        <w:tc>
          <w:tcPr>
            <w:tcW w:w="1400" w:type="dxa"/>
            <w:vAlign w:val="center"/>
          </w:tcPr>
          <w:p w14:paraId="1C230BB8">
            <w:pPr>
              <w:adjustRightInd w:val="0"/>
              <w:snapToGrid w:val="0"/>
              <w:jc w:val="center"/>
              <w:rPr>
                <w:szCs w:val="21"/>
              </w:rPr>
            </w:pPr>
          </w:p>
        </w:tc>
        <w:tc>
          <w:tcPr>
            <w:tcW w:w="1550" w:type="dxa"/>
            <w:vAlign w:val="center"/>
          </w:tcPr>
          <w:p w14:paraId="34A5F66E">
            <w:pPr>
              <w:adjustRightInd w:val="0"/>
              <w:snapToGrid w:val="0"/>
              <w:jc w:val="center"/>
              <w:rPr>
                <w:szCs w:val="21"/>
              </w:rPr>
            </w:pPr>
          </w:p>
        </w:tc>
      </w:tr>
      <w:tr w14:paraId="5B09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65B3F29D">
            <w:pPr>
              <w:adjustRightInd w:val="0"/>
              <w:snapToGrid w:val="0"/>
              <w:jc w:val="center"/>
              <w:rPr>
                <w:szCs w:val="21"/>
              </w:rPr>
            </w:pPr>
            <w:r>
              <w:rPr>
                <w:rFonts w:hint="eastAsia"/>
                <w:szCs w:val="21"/>
              </w:rPr>
              <w:t>7</w:t>
            </w:r>
          </w:p>
        </w:tc>
        <w:tc>
          <w:tcPr>
            <w:tcW w:w="1350" w:type="dxa"/>
            <w:vAlign w:val="center"/>
          </w:tcPr>
          <w:p w14:paraId="7ADF269C">
            <w:pPr>
              <w:adjustRightInd w:val="0"/>
              <w:snapToGrid w:val="0"/>
              <w:jc w:val="center"/>
              <w:rPr>
                <w:szCs w:val="21"/>
              </w:rPr>
            </w:pPr>
          </w:p>
        </w:tc>
        <w:tc>
          <w:tcPr>
            <w:tcW w:w="1767" w:type="dxa"/>
            <w:vAlign w:val="center"/>
          </w:tcPr>
          <w:p w14:paraId="3FF741D7">
            <w:pPr>
              <w:adjustRightInd w:val="0"/>
              <w:snapToGrid w:val="0"/>
              <w:jc w:val="center"/>
              <w:rPr>
                <w:szCs w:val="21"/>
              </w:rPr>
            </w:pPr>
          </w:p>
        </w:tc>
        <w:tc>
          <w:tcPr>
            <w:tcW w:w="1300" w:type="dxa"/>
            <w:vAlign w:val="center"/>
          </w:tcPr>
          <w:p w14:paraId="5ED52AB7">
            <w:pPr>
              <w:adjustRightInd w:val="0"/>
              <w:snapToGrid w:val="0"/>
              <w:jc w:val="center"/>
              <w:rPr>
                <w:szCs w:val="21"/>
              </w:rPr>
            </w:pPr>
          </w:p>
        </w:tc>
        <w:tc>
          <w:tcPr>
            <w:tcW w:w="1666" w:type="dxa"/>
            <w:vAlign w:val="center"/>
          </w:tcPr>
          <w:p w14:paraId="04564508">
            <w:pPr>
              <w:adjustRightInd w:val="0"/>
              <w:snapToGrid w:val="0"/>
              <w:jc w:val="center"/>
              <w:rPr>
                <w:szCs w:val="21"/>
              </w:rPr>
            </w:pPr>
          </w:p>
        </w:tc>
        <w:tc>
          <w:tcPr>
            <w:tcW w:w="1400" w:type="dxa"/>
            <w:vAlign w:val="center"/>
          </w:tcPr>
          <w:p w14:paraId="236610AA">
            <w:pPr>
              <w:adjustRightInd w:val="0"/>
              <w:snapToGrid w:val="0"/>
              <w:jc w:val="center"/>
              <w:rPr>
                <w:szCs w:val="21"/>
              </w:rPr>
            </w:pPr>
          </w:p>
        </w:tc>
        <w:tc>
          <w:tcPr>
            <w:tcW w:w="1550" w:type="dxa"/>
            <w:vAlign w:val="center"/>
          </w:tcPr>
          <w:p w14:paraId="7D4A01E7">
            <w:pPr>
              <w:adjustRightInd w:val="0"/>
              <w:snapToGrid w:val="0"/>
              <w:jc w:val="center"/>
              <w:rPr>
                <w:szCs w:val="21"/>
              </w:rPr>
            </w:pPr>
          </w:p>
        </w:tc>
      </w:tr>
      <w:tr w14:paraId="711A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5352A6FB">
            <w:pPr>
              <w:adjustRightInd w:val="0"/>
              <w:snapToGrid w:val="0"/>
              <w:jc w:val="center"/>
              <w:rPr>
                <w:szCs w:val="21"/>
              </w:rPr>
            </w:pPr>
            <w:r>
              <w:rPr>
                <w:rFonts w:hint="eastAsia"/>
                <w:szCs w:val="21"/>
              </w:rPr>
              <w:t>8</w:t>
            </w:r>
          </w:p>
        </w:tc>
        <w:tc>
          <w:tcPr>
            <w:tcW w:w="1350" w:type="dxa"/>
            <w:vAlign w:val="center"/>
          </w:tcPr>
          <w:p w14:paraId="377CFC5F">
            <w:pPr>
              <w:adjustRightInd w:val="0"/>
              <w:snapToGrid w:val="0"/>
              <w:jc w:val="center"/>
              <w:rPr>
                <w:szCs w:val="21"/>
              </w:rPr>
            </w:pPr>
          </w:p>
        </w:tc>
        <w:tc>
          <w:tcPr>
            <w:tcW w:w="1767" w:type="dxa"/>
            <w:vAlign w:val="center"/>
          </w:tcPr>
          <w:p w14:paraId="73E4D07D">
            <w:pPr>
              <w:adjustRightInd w:val="0"/>
              <w:snapToGrid w:val="0"/>
              <w:jc w:val="center"/>
              <w:rPr>
                <w:szCs w:val="21"/>
              </w:rPr>
            </w:pPr>
          </w:p>
        </w:tc>
        <w:tc>
          <w:tcPr>
            <w:tcW w:w="1300" w:type="dxa"/>
            <w:vAlign w:val="center"/>
          </w:tcPr>
          <w:p w14:paraId="10B3F58F">
            <w:pPr>
              <w:adjustRightInd w:val="0"/>
              <w:snapToGrid w:val="0"/>
              <w:jc w:val="center"/>
              <w:rPr>
                <w:szCs w:val="21"/>
              </w:rPr>
            </w:pPr>
          </w:p>
        </w:tc>
        <w:tc>
          <w:tcPr>
            <w:tcW w:w="1666" w:type="dxa"/>
            <w:vAlign w:val="center"/>
          </w:tcPr>
          <w:p w14:paraId="30FF6A9D">
            <w:pPr>
              <w:adjustRightInd w:val="0"/>
              <w:snapToGrid w:val="0"/>
              <w:jc w:val="center"/>
              <w:rPr>
                <w:szCs w:val="21"/>
              </w:rPr>
            </w:pPr>
          </w:p>
        </w:tc>
        <w:tc>
          <w:tcPr>
            <w:tcW w:w="1400" w:type="dxa"/>
            <w:vAlign w:val="center"/>
          </w:tcPr>
          <w:p w14:paraId="0CC3D7CE">
            <w:pPr>
              <w:adjustRightInd w:val="0"/>
              <w:snapToGrid w:val="0"/>
              <w:jc w:val="center"/>
              <w:rPr>
                <w:szCs w:val="21"/>
              </w:rPr>
            </w:pPr>
          </w:p>
        </w:tc>
        <w:tc>
          <w:tcPr>
            <w:tcW w:w="1550" w:type="dxa"/>
            <w:vAlign w:val="center"/>
          </w:tcPr>
          <w:p w14:paraId="7FA0350F">
            <w:pPr>
              <w:adjustRightInd w:val="0"/>
              <w:snapToGrid w:val="0"/>
              <w:jc w:val="center"/>
              <w:rPr>
                <w:szCs w:val="21"/>
              </w:rPr>
            </w:pPr>
          </w:p>
        </w:tc>
      </w:tr>
      <w:tr w14:paraId="6DFF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1EBA35FC">
            <w:pPr>
              <w:adjustRightInd w:val="0"/>
              <w:snapToGrid w:val="0"/>
              <w:jc w:val="center"/>
              <w:rPr>
                <w:szCs w:val="21"/>
              </w:rPr>
            </w:pPr>
            <w:r>
              <w:rPr>
                <w:rFonts w:hint="eastAsia"/>
                <w:szCs w:val="21"/>
              </w:rPr>
              <w:t>9</w:t>
            </w:r>
          </w:p>
        </w:tc>
        <w:tc>
          <w:tcPr>
            <w:tcW w:w="1350" w:type="dxa"/>
            <w:vAlign w:val="center"/>
          </w:tcPr>
          <w:p w14:paraId="26645AFA">
            <w:pPr>
              <w:adjustRightInd w:val="0"/>
              <w:snapToGrid w:val="0"/>
              <w:jc w:val="center"/>
              <w:rPr>
                <w:szCs w:val="21"/>
              </w:rPr>
            </w:pPr>
          </w:p>
        </w:tc>
        <w:tc>
          <w:tcPr>
            <w:tcW w:w="1767" w:type="dxa"/>
            <w:vAlign w:val="center"/>
          </w:tcPr>
          <w:p w14:paraId="6DF9BC67">
            <w:pPr>
              <w:adjustRightInd w:val="0"/>
              <w:snapToGrid w:val="0"/>
              <w:jc w:val="center"/>
              <w:rPr>
                <w:szCs w:val="21"/>
              </w:rPr>
            </w:pPr>
          </w:p>
        </w:tc>
        <w:tc>
          <w:tcPr>
            <w:tcW w:w="1300" w:type="dxa"/>
            <w:vAlign w:val="center"/>
          </w:tcPr>
          <w:p w14:paraId="53BFE1ED">
            <w:pPr>
              <w:adjustRightInd w:val="0"/>
              <w:snapToGrid w:val="0"/>
              <w:jc w:val="center"/>
              <w:rPr>
                <w:szCs w:val="21"/>
              </w:rPr>
            </w:pPr>
          </w:p>
        </w:tc>
        <w:tc>
          <w:tcPr>
            <w:tcW w:w="1666" w:type="dxa"/>
            <w:vAlign w:val="center"/>
          </w:tcPr>
          <w:p w14:paraId="553552A9">
            <w:pPr>
              <w:adjustRightInd w:val="0"/>
              <w:snapToGrid w:val="0"/>
              <w:jc w:val="center"/>
              <w:rPr>
                <w:szCs w:val="21"/>
              </w:rPr>
            </w:pPr>
          </w:p>
        </w:tc>
        <w:tc>
          <w:tcPr>
            <w:tcW w:w="1400" w:type="dxa"/>
            <w:vAlign w:val="center"/>
          </w:tcPr>
          <w:p w14:paraId="3CC42B13">
            <w:pPr>
              <w:adjustRightInd w:val="0"/>
              <w:snapToGrid w:val="0"/>
              <w:jc w:val="center"/>
              <w:rPr>
                <w:szCs w:val="21"/>
              </w:rPr>
            </w:pPr>
          </w:p>
        </w:tc>
        <w:tc>
          <w:tcPr>
            <w:tcW w:w="1550" w:type="dxa"/>
            <w:vAlign w:val="center"/>
          </w:tcPr>
          <w:p w14:paraId="2651AA7A">
            <w:pPr>
              <w:adjustRightInd w:val="0"/>
              <w:snapToGrid w:val="0"/>
              <w:jc w:val="center"/>
              <w:rPr>
                <w:szCs w:val="21"/>
              </w:rPr>
            </w:pPr>
          </w:p>
        </w:tc>
      </w:tr>
      <w:tr w14:paraId="268D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6E8100FA">
            <w:pPr>
              <w:adjustRightInd w:val="0"/>
              <w:snapToGrid w:val="0"/>
              <w:jc w:val="center"/>
              <w:rPr>
                <w:szCs w:val="21"/>
              </w:rPr>
            </w:pPr>
            <w:r>
              <w:rPr>
                <w:rFonts w:hint="eastAsia"/>
                <w:szCs w:val="21"/>
              </w:rPr>
              <w:t>10</w:t>
            </w:r>
          </w:p>
        </w:tc>
        <w:tc>
          <w:tcPr>
            <w:tcW w:w="1350" w:type="dxa"/>
            <w:vAlign w:val="center"/>
          </w:tcPr>
          <w:p w14:paraId="230336CC">
            <w:pPr>
              <w:adjustRightInd w:val="0"/>
              <w:snapToGrid w:val="0"/>
              <w:jc w:val="center"/>
              <w:rPr>
                <w:szCs w:val="21"/>
              </w:rPr>
            </w:pPr>
          </w:p>
        </w:tc>
        <w:tc>
          <w:tcPr>
            <w:tcW w:w="1767" w:type="dxa"/>
            <w:vAlign w:val="center"/>
          </w:tcPr>
          <w:p w14:paraId="0178024F">
            <w:pPr>
              <w:adjustRightInd w:val="0"/>
              <w:snapToGrid w:val="0"/>
              <w:jc w:val="center"/>
              <w:rPr>
                <w:szCs w:val="21"/>
              </w:rPr>
            </w:pPr>
          </w:p>
        </w:tc>
        <w:tc>
          <w:tcPr>
            <w:tcW w:w="1300" w:type="dxa"/>
            <w:vAlign w:val="center"/>
          </w:tcPr>
          <w:p w14:paraId="343B5325">
            <w:pPr>
              <w:adjustRightInd w:val="0"/>
              <w:snapToGrid w:val="0"/>
              <w:jc w:val="center"/>
              <w:rPr>
                <w:szCs w:val="21"/>
              </w:rPr>
            </w:pPr>
          </w:p>
        </w:tc>
        <w:tc>
          <w:tcPr>
            <w:tcW w:w="1666" w:type="dxa"/>
            <w:vAlign w:val="center"/>
          </w:tcPr>
          <w:p w14:paraId="05A026EB">
            <w:pPr>
              <w:adjustRightInd w:val="0"/>
              <w:snapToGrid w:val="0"/>
              <w:jc w:val="center"/>
              <w:rPr>
                <w:szCs w:val="21"/>
              </w:rPr>
            </w:pPr>
          </w:p>
        </w:tc>
        <w:tc>
          <w:tcPr>
            <w:tcW w:w="1400" w:type="dxa"/>
            <w:vAlign w:val="center"/>
          </w:tcPr>
          <w:p w14:paraId="4DFB33BE">
            <w:pPr>
              <w:adjustRightInd w:val="0"/>
              <w:snapToGrid w:val="0"/>
              <w:jc w:val="center"/>
              <w:rPr>
                <w:szCs w:val="21"/>
              </w:rPr>
            </w:pPr>
          </w:p>
        </w:tc>
        <w:tc>
          <w:tcPr>
            <w:tcW w:w="1550" w:type="dxa"/>
            <w:vAlign w:val="center"/>
          </w:tcPr>
          <w:p w14:paraId="3445AA7C">
            <w:pPr>
              <w:adjustRightInd w:val="0"/>
              <w:snapToGrid w:val="0"/>
              <w:jc w:val="center"/>
              <w:rPr>
                <w:szCs w:val="21"/>
              </w:rPr>
            </w:pPr>
          </w:p>
        </w:tc>
      </w:tr>
      <w:tr w14:paraId="2497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vAlign w:val="center"/>
          </w:tcPr>
          <w:p w14:paraId="15640A12">
            <w:pPr>
              <w:adjustRightInd w:val="0"/>
              <w:snapToGrid w:val="0"/>
              <w:jc w:val="center"/>
              <w:rPr>
                <w:szCs w:val="21"/>
              </w:rPr>
            </w:pPr>
            <w:r>
              <w:rPr>
                <w:rFonts w:hint="eastAsia"/>
                <w:szCs w:val="21"/>
              </w:rPr>
              <w:t>……</w:t>
            </w:r>
          </w:p>
        </w:tc>
        <w:tc>
          <w:tcPr>
            <w:tcW w:w="1350" w:type="dxa"/>
            <w:vAlign w:val="center"/>
          </w:tcPr>
          <w:p w14:paraId="0DBBF25E">
            <w:pPr>
              <w:adjustRightInd w:val="0"/>
              <w:snapToGrid w:val="0"/>
              <w:jc w:val="center"/>
              <w:rPr>
                <w:szCs w:val="21"/>
              </w:rPr>
            </w:pPr>
            <w:r>
              <w:rPr>
                <w:rFonts w:hint="eastAsia"/>
                <w:szCs w:val="21"/>
              </w:rPr>
              <w:t>……</w:t>
            </w:r>
          </w:p>
        </w:tc>
        <w:tc>
          <w:tcPr>
            <w:tcW w:w="1767" w:type="dxa"/>
            <w:vAlign w:val="center"/>
          </w:tcPr>
          <w:p w14:paraId="610E71E2">
            <w:pPr>
              <w:adjustRightInd w:val="0"/>
              <w:snapToGrid w:val="0"/>
              <w:jc w:val="center"/>
              <w:rPr>
                <w:rFonts w:hint="eastAsia"/>
                <w:szCs w:val="21"/>
              </w:rPr>
            </w:pPr>
          </w:p>
        </w:tc>
        <w:tc>
          <w:tcPr>
            <w:tcW w:w="1300" w:type="dxa"/>
            <w:vAlign w:val="center"/>
          </w:tcPr>
          <w:p w14:paraId="2F00DBE9">
            <w:pPr>
              <w:adjustRightInd w:val="0"/>
              <w:snapToGrid w:val="0"/>
              <w:jc w:val="center"/>
              <w:rPr>
                <w:rFonts w:hint="eastAsia"/>
                <w:szCs w:val="21"/>
              </w:rPr>
            </w:pPr>
          </w:p>
        </w:tc>
        <w:tc>
          <w:tcPr>
            <w:tcW w:w="1666" w:type="dxa"/>
            <w:vAlign w:val="center"/>
          </w:tcPr>
          <w:p w14:paraId="62BBF8C5">
            <w:pPr>
              <w:adjustRightInd w:val="0"/>
              <w:snapToGrid w:val="0"/>
              <w:jc w:val="center"/>
              <w:rPr>
                <w:szCs w:val="21"/>
              </w:rPr>
            </w:pPr>
          </w:p>
        </w:tc>
        <w:tc>
          <w:tcPr>
            <w:tcW w:w="1400" w:type="dxa"/>
            <w:vAlign w:val="center"/>
          </w:tcPr>
          <w:p w14:paraId="58D87637">
            <w:pPr>
              <w:adjustRightInd w:val="0"/>
              <w:snapToGrid w:val="0"/>
              <w:jc w:val="center"/>
              <w:rPr>
                <w:szCs w:val="21"/>
              </w:rPr>
            </w:pPr>
          </w:p>
        </w:tc>
        <w:tc>
          <w:tcPr>
            <w:tcW w:w="1550" w:type="dxa"/>
            <w:vAlign w:val="center"/>
          </w:tcPr>
          <w:p w14:paraId="23BF2D82">
            <w:pPr>
              <w:adjustRightInd w:val="0"/>
              <w:snapToGrid w:val="0"/>
              <w:jc w:val="center"/>
              <w:rPr>
                <w:szCs w:val="21"/>
              </w:rPr>
            </w:pPr>
          </w:p>
        </w:tc>
      </w:tr>
      <w:tr w14:paraId="158D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67" w:type="dxa"/>
            <w:gridSpan w:val="4"/>
            <w:vAlign w:val="center"/>
          </w:tcPr>
          <w:p w14:paraId="5DDE17BE">
            <w:pPr>
              <w:adjustRightInd w:val="0"/>
              <w:snapToGrid w:val="0"/>
              <w:jc w:val="center"/>
              <w:rPr>
                <w:szCs w:val="21"/>
              </w:rPr>
            </w:pPr>
            <w:r>
              <w:rPr>
                <w:rFonts w:hint="eastAsia"/>
                <w:szCs w:val="21"/>
              </w:rPr>
              <w:t>总计</w:t>
            </w:r>
          </w:p>
        </w:tc>
        <w:tc>
          <w:tcPr>
            <w:tcW w:w="1666" w:type="dxa"/>
            <w:vAlign w:val="center"/>
          </w:tcPr>
          <w:p w14:paraId="76912734">
            <w:pPr>
              <w:adjustRightInd w:val="0"/>
              <w:snapToGrid w:val="0"/>
              <w:jc w:val="center"/>
              <w:rPr>
                <w:rFonts w:hint="eastAsia"/>
                <w:szCs w:val="21"/>
              </w:rPr>
            </w:pPr>
          </w:p>
        </w:tc>
        <w:tc>
          <w:tcPr>
            <w:tcW w:w="1400" w:type="dxa"/>
            <w:vAlign w:val="center"/>
          </w:tcPr>
          <w:p w14:paraId="62C25670">
            <w:pPr>
              <w:adjustRightInd w:val="0"/>
              <w:snapToGrid w:val="0"/>
              <w:jc w:val="center"/>
              <w:rPr>
                <w:rFonts w:hint="eastAsia"/>
                <w:szCs w:val="21"/>
              </w:rPr>
            </w:pPr>
          </w:p>
        </w:tc>
        <w:tc>
          <w:tcPr>
            <w:tcW w:w="1550" w:type="dxa"/>
            <w:vAlign w:val="center"/>
          </w:tcPr>
          <w:p w14:paraId="362F7261">
            <w:pPr>
              <w:adjustRightInd w:val="0"/>
              <w:snapToGrid w:val="0"/>
              <w:jc w:val="center"/>
              <w:rPr>
                <w:szCs w:val="21"/>
              </w:rPr>
            </w:pPr>
          </w:p>
        </w:tc>
      </w:tr>
    </w:tbl>
    <w:p w14:paraId="6ED5DBBF">
      <w:pPr>
        <w:spacing w:line="300" w:lineRule="auto"/>
        <w:rPr>
          <w:rFonts w:ascii="Arial" w:hAnsi="Arial" w:cs="Arial"/>
          <w:szCs w:val="21"/>
        </w:rPr>
      </w:pPr>
    </w:p>
    <w:p w14:paraId="6707CA29">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hint="eastAsia" w:cs="仿宋_GB2312"/>
        </w:rPr>
        <w:t>（盖章）</w:t>
      </w:r>
      <w:r>
        <w:rPr>
          <w:rFonts w:ascii="Arial" w:hAnsi="Arial" w:cs="Arial"/>
          <w:szCs w:val="21"/>
        </w:rPr>
        <w:t xml:space="preserve"> </w:t>
      </w:r>
    </w:p>
    <w:p w14:paraId="7D912860">
      <w:pPr>
        <w:spacing w:line="300" w:lineRule="auto"/>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525623AB">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14:paraId="30002B10"/>
    <w:p w14:paraId="2B07E3C8"/>
    <w:p w14:paraId="77D143BB">
      <w:pPr>
        <w:rPr>
          <w:b/>
          <w:bCs/>
        </w:rPr>
      </w:pPr>
      <w:r>
        <w:rPr>
          <w:b/>
          <w:bCs/>
        </w:rPr>
        <w:t>注：</w:t>
      </w:r>
    </w:p>
    <w:p w14:paraId="70105753">
      <w:pPr>
        <w:pStyle w:val="43"/>
        <w:ind w:firstLine="480"/>
      </w:pPr>
      <w:r>
        <w:t>1、按照本表填写的各项目的合计价填写到</w:t>
      </w:r>
      <w:r>
        <w:rPr>
          <w:rFonts w:hint="eastAsia"/>
        </w:rPr>
        <w:t>《报价一览表》</w:t>
      </w:r>
      <w:r>
        <w:t>中对应的栏目中。</w:t>
      </w:r>
    </w:p>
    <w:p w14:paraId="77F11E78">
      <w:pPr>
        <w:pStyle w:val="43"/>
        <w:ind w:firstLine="480"/>
        <w:rPr>
          <w:i/>
        </w:rPr>
      </w:pPr>
      <w:r>
        <w:rPr>
          <w:rFonts w:hint="eastAsia"/>
        </w:rPr>
        <w:t>2</w:t>
      </w:r>
      <w:r>
        <w:t>、</w:t>
      </w:r>
      <w:r>
        <w:rPr>
          <w:rFonts w:hint="eastAsia"/>
        </w:rPr>
        <w:t>此报价表只按照采购文件中的清单进行报价</w:t>
      </w:r>
      <w:r>
        <w:t>。</w:t>
      </w:r>
    </w:p>
    <w:p w14:paraId="1002215A">
      <w:pPr>
        <w:adjustRightInd w:val="0"/>
        <w:snapToGrid w:val="0"/>
        <w:spacing w:line="240" w:lineRule="auto"/>
        <w:jc w:val="both"/>
        <w:rPr>
          <w:szCs w:val="21"/>
        </w:rPr>
      </w:pPr>
    </w:p>
    <w:p w14:paraId="7CC37B43">
      <w:pPr>
        <w:adjustRightInd w:val="0"/>
        <w:snapToGrid w:val="0"/>
        <w:spacing w:line="240" w:lineRule="auto"/>
        <w:jc w:val="both"/>
        <w:rPr>
          <w:szCs w:val="21"/>
        </w:rPr>
      </w:pPr>
    </w:p>
    <w:p w14:paraId="0EF1609C">
      <w:pPr>
        <w:pStyle w:val="3"/>
        <w:numPr>
          <w:ilvl w:val="0"/>
          <w:numId w:val="25"/>
        </w:numPr>
      </w:pPr>
      <w:bookmarkStart w:id="596" w:name="_Toc163493652"/>
      <w:bookmarkStart w:id="597" w:name="_Toc22489"/>
      <w:bookmarkStart w:id="598" w:name="_Toc18855"/>
      <w:bookmarkStart w:id="599" w:name="_Toc23010"/>
      <w:bookmarkStart w:id="600" w:name="_Hlk158370378"/>
      <w:r>
        <w:rPr>
          <w:rFonts w:hint="eastAsia"/>
        </w:rPr>
        <w:t>商务部分</w:t>
      </w:r>
      <w:bookmarkEnd w:id="596"/>
      <w:bookmarkEnd w:id="597"/>
      <w:bookmarkEnd w:id="598"/>
      <w:bookmarkEnd w:id="599"/>
    </w:p>
    <w:p w14:paraId="65E4521D">
      <w:pPr>
        <w:pStyle w:val="4"/>
        <w:numPr>
          <w:ilvl w:val="0"/>
          <w:numId w:val="30"/>
        </w:numPr>
      </w:pPr>
      <w:bookmarkStart w:id="601" w:name="_Toc11677"/>
      <w:bookmarkStart w:id="602" w:name="_Toc4503"/>
      <w:bookmarkStart w:id="603" w:name="_Toc163493653"/>
      <w:bookmarkStart w:id="604" w:name="_Toc156490361"/>
      <w:r>
        <w:rPr>
          <w:rFonts w:hint="eastAsia"/>
        </w:rPr>
        <w:t>供应商基本情况表</w:t>
      </w:r>
      <w:bookmarkEnd w:id="601"/>
      <w:bookmarkEnd w:id="602"/>
      <w:bookmarkEnd w:id="603"/>
      <w:bookmarkEnd w:id="604"/>
    </w:p>
    <w:p w14:paraId="3FBD8B32">
      <w:pPr>
        <w:rPr>
          <w:rFonts w:cs="仿宋_GB2312"/>
        </w:rPr>
      </w:pPr>
      <w:r>
        <w:rPr>
          <w:rFonts w:hint="eastAsia" w:cs="仿宋_GB2312"/>
        </w:rPr>
        <w:t xml:space="preserve">项目名称：             </w:t>
      </w:r>
    </w:p>
    <w:p w14:paraId="4FE2D8F8">
      <w:pPr>
        <w:rPr>
          <w:rFonts w:cs="仿宋_GB2312"/>
        </w:rPr>
      </w:pPr>
      <w:r>
        <w:rPr>
          <w:rFonts w:hint="eastAsia" w:cs="仿宋_GB2312"/>
        </w:rPr>
        <w:t xml:space="preserve">项目编号：                         </w:t>
      </w:r>
    </w:p>
    <w:tbl>
      <w:tblPr>
        <w:tblStyle w:val="26"/>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70D1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1621264">
            <w:pPr>
              <w:pStyle w:val="43"/>
            </w:pPr>
            <w:r>
              <w:rPr>
                <w:rFonts w:hint="eastAsia"/>
              </w:rPr>
              <w:t>供应商名称</w:t>
            </w:r>
          </w:p>
        </w:tc>
        <w:tc>
          <w:tcPr>
            <w:tcW w:w="6867" w:type="dxa"/>
            <w:gridSpan w:val="8"/>
            <w:vAlign w:val="center"/>
          </w:tcPr>
          <w:p w14:paraId="06568A0C">
            <w:pPr>
              <w:pStyle w:val="43"/>
            </w:pPr>
          </w:p>
        </w:tc>
      </w:tr>
      <w:tr w14:paraId="190C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0FCF5BE">
            <w:pPr>
              <w:pStyle w:val="43"/>
            </w:pPr>
            <w:r>
              <w:rPr>
                <w:rFonts w:hint="eastAsia"/>
              </w:rPr>
              <w:t>注册地址</w:t>
            </w:r>
          </w:p>
        </w:tc>
        <w:tc>
          <w:tcPr>
            <w:tcW w:w="3306" w:type="dxa"/>
            <w:gridSpan w:val="4"/>
            <w:vAlign w:val="center"/>
          </w:tcPr>
          <w:p w14:paraId="35B0F750">
            <w:pPr>
              <w:pStyle w:val="43"/>
            </w:pPr>
          </w:p>
        </w:tc>
        <w:tc>
          <w:tcPr>
            <w:tcW w:w="1320" w:type="dxa"/>
            <w:vAlign w:val="center"/>
          </w:tcPr>
          <w:p w14:paraId="40D052AC">
            <w:pPr>
              <w:pStyle w:val="43"/>
            </w:pPr>
            <w:r>
              <w:rPr>
                <w:rFonts w:hint="eastAsia"/>
              </w:rPr>
              <w:t>邮政编码</w:t>
            </w:r>
          </w:p>
        </w:tc>
        <w:tc>
          <w:tcPr>
            <w:tcW w:w="2241" w:type="dxa"/>
            <w:gridSpan w:val="3"/>
            <w:vAlign w:val="center"/>
          </w:tcPr>
          <w:p w14:paraId="78AA7DCC">
            <w:pPr>
              <w:pStyle w:val="43"/>
            </w:pPr>
          </w:p>
        </w:tc>
      </w:tr>
      <w:tr w14:paraId="78D8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6F8B6951">
            <w:pPr>
              <w:pStyle w:val="43"/>
            </w:pPr>
            <w:r>
              <w:rPr>
                <w:rFonts w:hint="eastAsia"/>
              </w:rPr>
              <w:t>联系方式</w:t>
            </w:r>
          </w:p>
        </w:tc>
        <w:tc>
          <w:tcPr>
            <w:tcW w:w="992" w:type="dxa"/>
            <w:vAlign w:val="center"/>
          </w:tcPr>
          <w:p w14:paraId="516EEFB7">
            <w:pPr>
              <w:pStyle w:val="43"/>
            </w:pPr>
            <w:r>
              <w:rPr>
                <w:rFonts w:hint="eastAsia"/>
              </w:rPr>
              <w:t>联系人</w:t>
            </w:r>
          </w:p>
        </w:tc>
        <w:tc>
          <w:tcPr>
            <w:tcW w:w="2306" w:type="dxa"/>
            <w:gridSpan w:val="2"/>
            <w:vAlign w:val="center"/>
          </w:tcPr>
          <w:p w14:paraId="3B56DD02">
            <w:pPr>
              <w:pStyle w:val="43"/>
            </w:pPr>
          </w:p>
        </w:tc>
        <w:tc>
          <w:tcPr>
            <w:tcW w:w="1328" w:type="dxa"/>
            <w:gridSpan w:val="2"/>
            <w:vAlign w:val="center"/>
          </w:tcPr>
          <w:p w14:paraId="4806854C">
            <w:pPr>
              <w:pStyle w:val="43"/>
            </w:pPr>
            <w:r>
              <w:rPr>
                <w:rFonts w:hint="eastAsia"/>
              </w:rPr>
              <w:t>电话</w:t>
            </w:r>
          </w:p>
        </w:tc>
        <w:tc>
          <w:tcPr>
            <w:tcW w:w="2241" w:type="dxa"/>
            <w:gridSpan w:val="3"/>
            <w:vAlign w:val="center"/>
          </w:tcPr>
          <w:p w14:paraId="2C98B205">
            <w:pPr>
              <w:pStyle w:val="43"/>
            </w:pPr>
          </w:p>
        </w:tc>
      </w:tr>
      <w:tr w14:paraId="3AEE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1CA33CF5">
            <w:pPr>
              <w:pStyle w:val="43"/>
            </w:pPr>
          </w:p>
        </w:tc>
        <w:tc>
          <w:tcPr>
            <w:tcW w:w="992" w:type="dxa"/>
            <w:vAlign w:val="center"/>
          </w:tcPr>
          <w:p w14:paraId="49AA8D74">
            <w:pPr>
              <w:pStyle w:val="43"/>
            </w:pPr>
            <w:r>
              <w:rPr>
                <w:rFonts w:hint="eastAsia"/>
              </w:rPr>
              <w:t>传真</w:t>
            </w:r>
          </w:p>
        </w:tc>
        <w:tc>
          <w:tcPr>
            <w:tcW w:w="2306" w:type="dxa"/>
            <w:gridSpan w:val="2"/>
            <w:vAlign w:val="center"/>
          </w:tcPr>
          <w:p w14:paraId="64D0D31E">
            <w:pPr>
              <w:pStyle w:val="43"/>
            </w:pPr>
          </w:p>
        </w:tc>
        <w:tc>
          <w:tcPr>
            <w:tcW w:w="1328" w:type="dxa"/>
            <w:gridSpan w:val="2"/>
            <w:vAlign w:val="center"/>
          </w:tcPr>
          <w:p w14:paraId="042D02CE">
            <w:pPr>
              <w:pStyle w:val="43"/>
            </w:pPr>
            <w:r>
              <w:rPr>
                <w:rFonts w:hint="eastAsia"/>
              </w:rPr>
              <w:t>网址</w:t>
            </w:r>
          </w:p>
        </w:tc>
        <w:tc>
          <w:tcPr>
            <w:tcW w:w="2241" w:type="dxa"/>
            <w:gridSpan w:val="3"/>
            <w:vAlign w:val="center"/>
          </w:tcPr>
          <w:p w14:paraId="07DE934D">
            <w:pPr>
              <w:pStyle w:val="43"/>
            </w:pPr>
          </w:p>
        </w:tc>
      </w:tr>
      <w:tr w14:paraId="4DA7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677119FF">
            <w:pPr>
              <w:pStyle w:val="43"/>
            </w:pPr>
            <w:r>
              <w:rPr>
                <w:rFonts w:hint="eastAsia"/>
              </w:rPr>
              <w:t>组织结构</w:t>
            </w:r>
          </w:p>
        </w:tc>
        <w:tc>
          <w:tcPr>
            <w:tcW w:w="6867" w:type="dxa"/>
            <w:gridSpan w:val="8"/>
            <w:vAlign w:val="center"/>
          </w:tcPr>
          <w:p w14:paraId="1EF10D18">
            <w:pPr>
              <w:pStyle w:val="43"/>
            </w:pPr>
          </w:p>
        </w:tc>
      </w:tr>
      <w:tr w14:paraId="5555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6BB8134D">
            <w:pPr>
              <w:pStyle w:val="43"/>
            </w:pPr>
            <w:r>
              <w:rPr>
                <w:rFonts w:hint="eastAsia"/>
              </w:rPr>
              <w:t>法定代表人</w:t>
            </w:r>
          </w:p>
        </w:tc>
        <w:tc>
          <w:tcPr>
            <w:tcW w:w="992" w:type="dxa"/>
            <w:vAlign w:val="center"/>
          </w:tcPr>
          <w:p w14:paraId="1B20F2DB">
            <w:pPr>
              <w:pStyle w:val="43"/>
            </w:pPr>
            <w:r>
              <w:rPr>
                <w:rFonts w:hint="eastAsia"/>
              </w:rPr>
              <w:t>姓名</w:t>
            </w:r>
          </w:p>
        </w:tc>
        <w:tc>
          <w:tcPr>
            <w:tcW w:w="1056" w:type="dxa"/>
            <w:vAlign w:val="center"/>
          </w:tcPr>
          <w:p w14:paraId="1026F3A1">
            <w:pPr>
              <w:pStyle w:val="43"/>
            </w:pPr>
          </w:p>
        </w:tc>
        <w:tc>
          <w:tcPr>
            <w:tcW w:w="1250" w:type="dxa"/>
            <w:vAlign w:val="center"/>
          </w:tcPr>
          <w:p w14:paraId="25430297">
            <w:pPr>
              <w:pStyle w:val="43"/>
            </w:pPr>
            <w:r>
              <w:rPr>
                <w:rFonts w:hint="eastAsia"/>
              </w:rPr>
              <w:t>技术职称</w:t>
            </w:r>
          </w:p>
        </w:tc>
        <w:tc>
          <w:tcPr>
            <w:tcW w:w="1328" w:type="dxa"/>
            <w:gridSpan w:val="2"/>
            <w:vAlign w:val="center"/>
          </w:tcPr>
          <w:p w14:paraId="00BC0F00">
            <w:pPr>
              <w:pStyle w:val="43"/>
            </w:pPr>
          </w:p>
        </w:tc>
        <w:tc>
          <w:tcPr>
            <w:tcW w:w="1172" w:type="dxa"/>
            <w:gridSpan w:val="2"/>
            <w:vAlign w:val="center"/>
          </w:tcPr>
          <w:p w14:paraId="5505029D">
            <w:pPr>
              <w:pStyle w:val="43"/>
            </w:pPr>
            <w:r>
              <w:rPr>
                <w:rFonts w:hint="eastAsia"/>
              </w:rPr>
              <w:t>电话</w:t>
            </w:r>
          </w:p>
        </w:tc>
        <w:tc>
          <w:tcPr>
            <w:tcW w:w="1069" w:type="dxa"/>
            <w:vAlign w:val="center"/>
          </w:tcPr>
          <w:p w14:paraId="1C2F7174">
            <w:pPr>
              <w:pStyle w:val="43"/>
            </w:pPr>
          </w:p>
        </w:tc>
      </w:tr>
      <w:tr w14:paraId="575A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70BF42C0">
            <w:pPr>
              <w:pStyle w:val="43"/>
            </w:pPr>
            <w:r>
              <w:rPr>
                <w:rFonts w:hint="eastAsia"/>
              </w:rPr>
              <w:t>技术负责人</w:t>
            </w:r>
          </w:p>
        </w:tc>
        <w:tc>
          <w:tcPr>
            <w:tcW w:w="992" w:type="dxa"/>
            <w:vAlign w:val="center"/>
          </w:tcPr>
          <w:p w14:paraId="6EA1108B">
            <w:pPr>
              <w:pStyle w:val="43"/>
            </w:pPr>
            <w:r>
              <w:rPr>
                <w:rFonts w:hint="eastAsia"/>
              </w:rPr>
              <w:t>姓名</w:t>
            </w:r>
          </w:p>
        </w:tc>
        <w:tc>
          <w:tcPr>
            <w:tcW w:w="1056" w:type="dxa"/>
            <w:vAlign w:val="center"/>
          </w:tcPr>
          <w:p w14:paraId="2D11E5D1">
            <w:pPr>
              <w:pStyle w:val="43"/>
            </w:pPr>
          </w:p>
        </w:tc>
        <w:tc>
          <w:tcPr>
            <w:tcW w:w="1250" w:type="dxa"/>
            <w:vAlign w:val="center"/>
          </w:tcPr>
          <w:p w14:paraId="305E03C2">
            <w:pPr>
              <w:pStyle w:val="43"/>
            </w:pPr>
            <w:r>
              <w:rPr>
                <w:rFonts w:hint="eastAsia"/>
              </w:rPr>
              <w:t>技术职称</w:t>
            </w:r>
          </w:p>
        </w:tc>
        <w:tc>
          <w:tcPr>
            <w:tcW w:w="1328" w:type="dxa"/>
            <w:gridSpan w:val="2"/>
            <w:vAlign w:val="center"/>
          </w:tcPr>
          <w:p w14:paraId="2FBE5FDC">
            <w:pPr>
              <w:pStyle w:val="43"/>
            </w:pPr>
          </w:p>
        </w:tc>
        <w:tc>
          <w:tcPr>
            <w:tcW w:w="1172" w:type="dxa"/>
            <w:gridSpan w:val="2"/>
            <w:vAlign w:val="center"/>
          </w:tcPr>
          <w:p w14:paraId="7416AB8D">
            <w:pPr>
              <w:pStyle w:val="43"/>
            </w:pPr>
            <w:r>
              <w:rPr>
                <w:rFonts w:hint="eastAsia"/>
              </w:rPr>
              <w:t>电话</w:t>
            </w:r>
          </w:p>
        </w:tc>
        <w:tc>
          <w:tcPr>
            <w:tcW w:w="1069" w:type="dxa"/>
            <w:vAlign w:val="center"/>
          </w:tcPr>
          <w:p w14:paraId="0C6B349E">
            <w:pPr>
              <w:pStyle w:val="43"/>
            </w:pPr>
          </w:p>
        </w:tc>
      </w:tr>
      <w:tr w14:paraId="0E08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06C90B9">
            <w:pPr>
              <w:pStyle w:val="43"/>
            </w:pPr>
            <w:r>
              <w:rPr>
                <w:rFonts w:hint="eastAsia"/>
              </w:rPr>
              <w:t>成立时间</w:t>
            </w:r>
          </w:p>
        </w:tc>
        <w:tc>
          <w:tcPr>
            <w:tcW w:w="2048" w:type="dxa"/>
            <w:gridSpan w:val="2"/>
            <w:vAlign w:val="center"/>
          </w:tcPr>
          <w:p w14:paraId="712C43BF">
            <w:pPr>
              <w:pStyle w:val="43"/>
            </w:pPr>
          </w:p>
        </w:tc>
        <w:tc>
          <w:tcPr>
            <w:tcW w:w="4819" w:type="dxa"/>
            <w:gridSpan w:val="6"/>
            <w:vAlign w:val="center"/>
          </w:tcPr>
          <w:p w14:paraId="7AC0B0BD">
            <w:pPr>
              <w:pStyle w:val="43"/>
            </w:pPr>
            <w:r>
              <w:rPr>
                <w:rFonts w:hint="eastAsia"/>
              </w:rPr>
              <w:t>员工总人数：</w:t>
            </w:r>
          </w:p>
        </w:tc>
      </w:tr>
      <w:tr w14:paraId="212C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1700EEA">
            <w:pPr>
              <w:pStyle w:val="43"/>
            </w:pPr>
            <w:r>
              <w:rPr>
                <w:rFonts w:hint="eastAsia"/>
              </w:rPr>
              <w:t>企业资质等级</w:t>
            </w:r>
          </w:p>
        </w:tc>
        <w:tc>
          <w:tcPr>
            <w:tcW w:w="2048" w:type="dxa"/>
            <w:gridSpan w:val="2"/>
            <w:vAlign w:val="center"/>
          </w:tcPr>
          <w:p w14:paraId="6FA6FDE6">
            <w:pPr>
              <w:pStyle w:val="43"/>
            </w:pPr>
          </w:p>
        </w:tc>
        <w:tc>
          <w:tcPr>
            <w:tcW w:w="1250" w:type="dxa"/>
            <w:vMerge w:val="restart"/>
            <w:vAlign w:val="center"/>
          </w:tcPr>
          <w:p w14:paraId="5AB12E7A">
            <w:pPr>
              <w:pStyle w:val="43"/>
            </w:pPr>
            <w:r>
              <w:rPr>
                <w:rFonts w:hint="eastAsia"/>
              </w:rPr>
              <w:t>其中</w:t>
            </w:r>
          </w:p>
        </w:tc>
        <w:tc>
          <w:tcPr>
            <w:tcW w:w="1914" w:type="dxa"/>
            <w:gridSpan w:val="3"/>
            <w:vAlign w:val="center"/>
          </w:tcPr>
          <w:p w14:paraId="50CB286A">
            <w:pPr>
              <w:pStyle w:val="43"/>
            </w:pPr>
            <w:r>
              <w:rPr>
                <w:rFonts w:hint="eastAsia"/>
              </w:rPr>
              <w:t>项目经理</w:t>
            </w:r>
          </w:p>
        </w:tc>
        <w:tc>
          <w:tcPr>
            <w:tcW w:w="1655" w:type="dxa"/>
            <w:gridSpan w:val="2"/>
            <w:vAlign w:val="center"/>
          </w:tcPr>
          <w:p w14:paraId="5DD3F219">
            <w:pPr>
              <w:pStyle w:val="43"/>
            </w:pPr>
          </w:p>
        </w:tc>
      </w:tr>
      <w:tr w14:paraId="713F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64E2773F">
            <w:pPr>
              <w:pStyle w:val="43"/>
            </w:pPr>
            <w:r>
              <w:rPr>
                <w:rFonts w:hint="eastAsia"/>
              </w:rPr>
              <w:t>营业执照号</w:t>
            </w:r>
          </w:p>
        </w:tc>
        <w:tc>
          <w:tcPr>
            <w:tcW w:w="2048" w:type="dxa"/>
            <w:gridSpan w:val="2"/>
            <w:vAlign w:val="center"/>
          </w:tcPr>
          <w:p w14:paraId="69E98B24">
            <w:pPr>
              <w:pStyle w:val="43"/>
            </w:pPr>
          </w:p>
        </w:tc>
        <w:tc>
          <w:tcPr>
            <w:tcW w:w="1250" w:type="dxa"/>
            <w:vMerge w:val="continue"/>
            <w:vAlign w:val="center"/>
          </w:tcPr>
          <w:p w14:paraId="2C20A86F">
            <w:pPr>
              <w:pStyle w:val="43"/>
            </w:pPr>
          </w:p>
        </w:tc>
        <w:tc>
          <w:tcPr>
            <w:tcW w:w="1914" w:type="dxa"/>
            <w:gridSpan w:val="3"/>
            <w:vAlign w:val="center"/>
          </w:tcPr>
          <w:p w14:paraId="4665B9C4">
            <w:pPr>
              <w:pStyle w:val="43"/>
            </w:pPr>
            <w:r>
              <w:rPr>
                <w:rFonts w:hint="eastAsia"/>
              </w:rPr>
              <w:t>高级职称人员</w:t>
            </w:r>
          </w:p>
        </w:tc>
        <w:tc>
          <w:tcPr>
            <w:tcW w:w="1655" w:type="dxa"/>
            <w:gridSpan w:val="2"/>
            <w:vAlign w:val="center"/>
          </w:tcPr>
          <w:p w14:paraId="6F281BC2">
            <w:pPr>
              <w:pStyle w:val="43"/>
            </w:pPr>
          </w:p>
        </w:tc>
      </w:tr>
      <w:tr w14:paraId="1CF3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4AE4DB5">
            <w:pPr>
              <w:pStyle w:val="43"/>
            </w:pPr>
            <w:r>
              <w:rPr>
                <w:rFonts w:hint="eastAsia"/>
              </w:rPr>
              <w:t>注册资金</w:t>
            </w:r>
          </w:p>
        </w:tc>
        <w:tc>
          <w:tcPr>
            <w:tcW w:w="2048" w:type="dxa"/>
            <w:gridSpan w:val="2"/>
            <w:vAlign w:val="center"/>
          </w:tcPr>
          <w:p w14:paraId="07743176">
            <w:pPr>
              <w:pStyle w:val="43"/>
            </w:pPr>
          </w:p>
        </w:tc>
        <w:tc>
          <w:tcPr>
            <w:tcW w:w="1250" w:type="dxa"/>
            <w:vMerge w:val="continue"/>
            <w:vAlign w:val="center"/>
          </w:tcPr>
          <w:p w14:paraId="6327611D">
            <w:pPr>
              <w:pStyle w:val="43"/>
            </w:pPr>
          </w:p>
        </w:tc>
        <w:tc>
          <w:tcPr>
            <w:tcW w:w="1914" w:type="dxa"/>
            <w:gridSpan w:val="3"/>
            <w:vAlign w:val="center"/>
          </w:tcPr>
          <w:p w14:paraId="2C4F3B0F">
            <w:pPr>
              <w:pStyle w:val="43"/>
            </w:pPr>
            <w:r>
              <w:rPr>
                <w:rFonts w:hint="eastAsia"/>
              </w:rPr>
              <w:t>中级职称人员</w:t>
            </w:r>
          </w:p>
        </w:tc>
        <w:tc>
          <w:tcPr>
            <w:tcW w:w="1655" w:type="dxa"/>
            <w:gridSpan w:val="2"/>
            <w:vAlign w:val="center"/>
          </w:tcPr>
          <w:p w14:paraId="689B125B">
            <w:pPr>
              <w:pStyle w:val="43"/>
            </w:pPr>
          </w:p>
        </w:tc>
      </w:tr>
      <w:tr w14:paraId="08C9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62B013E">
            <w:pPr>
              <w:pStyle w:val="43"/>
            </w:pPr>
            <w:r>
              <w:rPr>
                <w:rFonts w:hint="eastAsia"/>
              </w:rPr>
              <w:t>开户银行</w:t>
            </w:r>
          </w:p>
        </w:tc>
        <w:tc>
          <w:tcPr>
            <w:tcW w:w="2048" w:type="dxa"/>
            <w:gridSpan w:val="2"/>
            <w:vAlign w:val="center"/>
          </w:tcPr>
          <w:p w14:paraId="4525267F">
            <w:pPr>
              <w:pStyle w:val="43"/>
            </w:pPr>
          </w:p>
        </w:tc>
        <w:tc>
          <w:tcPr>
            <w:tcW w:w="1250" w:type="dxa"/>
            <w:vMerge w:val="continue"/>
            <w:vAlign w:val="center"/>
          </w:tcPr>
          <w:p w14:paraId="66C85DDD">
            <w:pPr>
              <w:pStyle w:val="43"/>
            </w:pPr>
          </w:p>
        </w:tc>
        <w:tc>
          <w:tcPr>
            <w:tcW w:w="1914" w:type="dxa"/>
            <w:gridSpan w:val="3"/>
            <w:vAlign w:val="center"/>
          </w:tcPr>
          <w:p w14:paraId="54A86905">
            <w:pPr>
              <w:pStyle w:val="43"/>
            </w:pPr>
            <w:r>
              <w:rPr>
                <w:rFonts w:hint="eastAsia"/>
              </w:rPr>
              <w:t>初级职称人员</w:t>
            </w:r>
          </w:p>
        </w:tc>
        <w:tc>
          <w:tcPr>
            <w:tcW w:w="1655" w:type="dxa"/>
            <w:gridSpan w:val="2"/>
            <w:vAlign w:val="center"/>
          </w:tcPr>
          <w:p w14:paraId="33CC43DB">
            <w:pPr>
              <w:pStyle w:val="43"/>
            </w:pPr>
          </w:p>
        </w:tc>
      </w:tr>
      <w:tr w14:paraId="4057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C29586D">
            <w:pPr>
              <w:pStyle w:val="43"/>
            </w:pPr>
            <w:r>
              <w:rPr>
                <w:rFonts w:hint="eastAsia"/>
              </w:rPr>
              <w:t>账号</w:t>
            </w:r>
          </w:p>
        </w:tc>
        <w:tc>
          <w:tcPr>
            <w:tcW w:w="2048" w:type="dxa"/>
            <w:gridSpan w:val="2"/>
            <w:vAlign w:val="center"/>
          </w:tcPr>
          <w:p w14:paraId="61FAF2BA">
            <w:pPr>
              <w:pStyle w:val="43"/>
            </w:pPr>
          </w:p>
        </w:tc>
        <w:tc>
          <w:tcPr>
            <w:tcW w:w="1250" w:type="dxa"/>
            <w:vMerge w:val="continue"/>
            <w:vAlign w:val="center"/>
          </w:tcPr>
          <w:p w14:paraId="3E45B056">
            <w:pPr>
              <w:pStyle w:val="43"/>
            </w:pPr>
          </w:p>
        </w:tc>
        <w:tc>
          <w:tcPr>
            <w:tcW w:w="1914" w:type="dxa"/>
            <w:gridSpan w:val="3"/>
            <w:vAlign w:val="center"/>
          </w:tcPr>
          <w:p w14:paraId="5121EB71">
            <w:pPr>
              <w:pStyle w:val="43"/>
            </w:pPr>
            <w:r>
              <w:rPr>
                <w:rFonts w:hint="eastAsia"/>
              </w:rPr>
              <w:t>技工</w:t>
            </w:r>
          </w:p>
        </w:tc>
        <w:tc>
          <w:tcPr>
            <w:tcW w:w="1655" w:type="dxa"/>
            <w:gridSpan w:val="2"/>
            <w:vAlign w:val="center"/>
          </w:tcPr>
          <w:p w14:paraId="33DD28F3">
            <w:pPr>
              <w:pStyle w:val="43"/>
            </w:pPr>
          </w:p>
        </w:tc>
      </w:tr>
      <w:tr w14:paraId="75B5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0719CF05">
            <w:pPr>
              <w:pStyle w:val="43"/>
            </w:pPr>
            <w:r>
              <w:rPr>
                <w:rFonts w:hint="eastAsia"/>
              </w:rPr>
              <w:t>经营范围</w:t>
            </w:r>
          </w:p>
        </w:tc>
        <w:tc>
          <w:tcPr>
            <w:tcW w:w="6867" w:type="dxa"/>
            <w:gridSpan w:val="8"/>
            <w:vAlign w:val="center"/>
          </w:tcPr>
          <w:p w14:paraId="62629B1D">
            <w:pPr>
              <w:pStyle w:val="43"/>
            </w:pPr>
          </w:p>
        </w:tc>
      </w:tr>
      <w:tr w14:paraId="2D46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1B3E88BD">
            <w:pPr>
              <w:pStyle w:val="43"/>
            </w:pPr>
            <w:r>
              <w:rPr>
                <w:rFonts w:hint="eastAsia"/>
              </w:rPr>
              <w:t>备注</w:t>
            </w:r>
          </w:p>
        </w:tc>
        <w:tc>
          <w:tcPr>
            <w:tcW w:w="6867" w:type="dxa"/>
            <w:gridSpan w:val="8"/>
          </w:tcPr>
          <w:p w14:paraId="65C5CB86">
            <w:pPr>
              <w:pStyle w:val="43"/>
            </w:pPr>
          </w:p>
        </w:tc>
      </w:tr>
    </w:tbl>
    <w:p w14:paraId="2009290D">
      <w:pPr>
        <w:pStyle w:val="10"/>
        <w:ind w:firstLine="480"/>
      </w:pPr>
    </w:p>
    <w:p w14:paraId="12A66799">
      <w:pPr>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2075EB0F">
      <w:r>
        <w:rPr>
          <w:rFonts w:hint="eastAsia" w:cs="仿宋_GB2312"/>
        </w:rPr>
        <w:t>日      期：   年   月   日</w:t>
      </w:r>
    </w:p>
    <w:p w14:paraId="2F92B073">
      <w:pPr>
        <w:widowControl/>
        <w:spacing w:line="240" w:lineRule="auto"/>
      </w:pPr>
      <w:r>
        <w:br w:type="page"/>
      </w:r>
    </w:p>
    <w:p w14:paraId="29F2F2C8"/>
    <w:p w14:paraId="27AA616E"/>
    <w:p w14:paraId="11AD4D34">
      <w:pPr>
        <w:pStyle w:val="4"/>
        <w:numPr>
          <w:ilvl w:val="0"/>
          <w:numId w:val="30"/>
        </w:numPr>
      </w:pPr>
      <w:bookmarkStart w:id="605" w:name="_Toc948"/>
      <w:bookmarkStart w:id="606" w:name="_Toc163493654"/>
      <w:bookmarkStart w:id="607" w:name="_Toc1296"/>
      <w:bookmarkStart w:id="608" w:name="_Toc156490362"/>
      <w:r>
        <w:rPr>
          <w:rFonts w:hint="eastAsia"/>
        </w:rPr>
        <w:t>关于资格条件的有关承诺及声明</w:t>
      </w:r>
      <w:bookmarkEnd w:id="605"/>
      <w:bookmarkEnd w:id="606"/>
      <w:bookmarkEnd w:id="607"/>
      <w:bookmarkEnd w:id="608"/>
    </w:p>
    <w:p w14:paraId="67AA5F9F">
      <w:pPr>
        <w:rPr>
          <w:color w:val="FF0000"/>
        </w:rPr>
      </w:pPr>
      <w:r>
        <w:rPr>
          <w:rFonts w:hint="eastAsia"/>
          <w:color w:val="FF0000"/>
        </w:rPr>
        <w:t>【</w:t>
      </w:r>
      <w:r>
        <w:rPr>
          <w:rFonts w:hint="eastAsia"/>
          <w:b/>
          <w:color w:val="FF0000"/>
          <w:szCs w:val="21"/>
        </w:rPr>
        <w:t>磋商供应商应根据本单位实际情况进行承诺和声明</w:t>
      </w:r>
      <w:r>
        <w:rPr>
          <w:rFonts w:hint="eastAsia"/>
          <w:color w:val="FF0000"/>
        </w:rPr>
        <w:t>】</w:t>
      </w:r>
    </w:p>
    <w:p w14:paraId="2658D4E4">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69272639">
      <w:pPr>
        <w:adjustRightInd w:val="0"/>
        <w:snapToGrid w:val="0"/>
        <w:ind w:firstLine="480" w:firstLineChars="200"/>
        <w:rPr>
          <w:szCs w:val="21"/>
        </w:rPr>
      </w:pPr>
      <w:r>
        <w:rPr>
          <w:rFonts w:hint="eastAsia"/>
          <w:szCs w:val="21"/>
        </w:rPr>
        <w:t>我方承诺完全</w:t>
      </w:r>
      <w:r>
        <w:rPr>
          <w:szCs w:val="21"/>
        </w:rPr>
        <w:t>满足</w:t>
      </w:r>
      <w:r>
        <w:rPr>
          <w:rFonts w:hint="eastAsia"/>
          <w:szCs w:val="21"/>
        </w:rPr>
        <w:t>竞争性磋商文件对供应商的资格要求：</w:t>
      </w:r>
    </w:p>
    <w:p w14:paraId="5DC89BC5">
      <w:pPr>
        <w:adjustRightInd w:val="0"/>
        <w:snapToGrid w:val="0"/>
        <w:ind w:firstLine="480" w:firstLineChars="200"/>
        <w:rPr>
          <w:rFonts w:cs="宋体"/>
          <w:szCs w:val="21"/>
        </w:rPr>
      </w:pPr>
      <w:r>
        <w:rPr>
          <w:rFonts w:hint="eastAsia" w:cs="宋体"/>
          <w:szCs w:val="21"/>
        </w:rPr>
        <w:t>1.满足《中华人民共和国政府采购法》第二十二条规定；</w:t>
      </w:r>
    </w:p>
    <w:p w14:paraId="240EE887">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7F57D299">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115AD3CB">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0B33498E">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549C2B19">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3CAEE183">
      <w:pPr>
        <w:pStyle w:val="36"/>
        <w:numPr>
          <w:ilvl w:val="0"/>
          <w:numId w:val="31"/>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03AB9B9D">
      <w:pPr>
        <w:pStyle w:val="36"/>
        <w:numPr>
          <w:ilvl w:val="0"/>
          <w:numId w:val="31"/>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42A8540E">
      <w:pPr>
        <w:pStyle w:val="36"/>
        <w:numPr>
          <w:ilvl w:val="0"/>
          <w:numId w:val="31"/>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32D0C02B">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18B3903D">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未被列入失信被执行人、重大税收违法失信主体，未被列入政府采购严重违法失信行为记录名单。</w:t>
      </w:r>
    </w:p>
    <w:p w14:paraId="223FCF52">
      <w:pPr>
        <w:adjustRightInd w:val="0"/>
        <w:snapToGrid w:val="0"/>
        <w:ind w:firstLine="480" w:firstLineChars="200"/>
        <w:rPr>
          <w:rFonts w:cs="宋体"/>
          <w:szCs w:val="21"/>
        </w:rPr>
      </w:pPr>
      <w:r>
        <w:rPr>
          <w:rFonts w:hint="eastAsia" w:cs="宋体"/>
          <w:szCs w:val="21"/>
        </w:rPr>
        <w:t>我</w:t>
      </w:r>
      <w:r>
        <w:rPr>
          <w:rFonts w:hint="eastAsia"/>
          <w:szCs w:val="21"/>
        </w:rPr>
        <w:t>方</w:t>
      </w:r>
      <w:r>
        <w:rPr>
          <w:rFonts w:hint="eastAsia" w:cs="宋体"/>
          <w:szCs w:val="21"/>
        </w:rPr>
        <w:t>保证上述信息的完整、客观、真实、准确，并愿意承担我</w:t>
      </w:r>
      <w:r>
        <w:rPr>
          <w:rFonts w:hint="eastAsia"/>
          <w:szCs w:val="21"/>
        </w:rPr>
        <w:t>方</w:t>
      </w:r>
      <w:r>
        <w:rPr>
          <w:rFonts w:hint="eastAsia" w:cs="宋体"/>
          <w:szCs w:val="21"/>
        </w:rPr>
        <w:t>因提供虚假材料谋骗取成交所引起的一切法律后果。</w:t>
      </w:r>
    </w:p>
    <w:p w14:paraId="40435429">
      <w:pPr>
        <w:rPr>
          <w:rFonts w:cs="仿宋_GB2312"/>
        </w:rPr>
      </w:pPr>
    </w:p>
    <w:p w14:paraId="0FD4506D">
      <w:pPr>
        <w:rPr>
          <w:rFonts w:cs="仿宋_GB2312"/>
        </w:rPr>
      </w:pPr>
    </w:p>
    <w:p w14:paraId="6F736BE5">
      <w:pPr>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7382B070">
      <w:r>
        <w:rPr>
          <w:rFonts w:hint="eastAsia" w:cs="仿宋_GB2312"/>
        </w:rPr>
        <w:t>日      期：   年   月   日</w:t>
      </w:r>
    </w:p>
    <w:p w14:paraId="0AB7F09D">
      <w:pPr>
        <w:ind w:firstLine="240" w:firstLineChars="100"/>
        <w:rPr>
          <w:color w:val="FF0000"/>
        </w:rPr>
      </w:pPr>
      <w:r>
        <w:rPr>
          <w:color w:val="FF0000"/>
        </w:rPr>
        <w:br w:type="page"/>
      </w:r>
    </w:p>
    <w:p w14:paraId="422CA5FF">
      <w:pPr>
        <w:pStyle w:val="4"/>
        <w:numPr>
          <w:ilvl w:val="0"/>
          <w:numId w:val="30"/>
        </w:numPr>
        <w:tabs>
          <w:tab w:val="left" w:pos="1605"/>
        </w:tabs>
      </w:pPr>
      <w:bookmarkStart w:id="609" w:name="_Toc163493655"/>
      <w:bookmarkStart w:id="610" w:name="_Toc156490363"/>
      <w:bookmarkStart w:id="611" w:name="_Toc14986"/>
      <w:bookmarkStart w:id="612" w:name="_Toc22841"/>
      <w:r>
        <w:rPr>
          <w:rFonts w:hint="eastAsia"/>
        </w:rPr>
        <w:t>资格证明文件</w:t>
      </w:r>
      <w:bookmarkEnd w:id="609"/>
      <w:bookmarkEnd w:id="610"/>
      <w:bookmarkEnd w:id="611"/>
      <w:bookmarkEnd w:id="612"/>
    </w:p>
    <w:p w14:paraId="40230CE7">
      <w:pPr>
        <w:rPr>
          <w:rFonts w:ascii="Arial" w:hAnsi="Arial" w:cs="Arial"/>
        </w:rPr>
      </w:pPr>
      <w:r>
        <w:rPr>
          <w:rFonts w:hint="eastAsia" w:ascii="Arial" w:hAnsi="Arial" w:cs="Arial"/>
        </w:rPr>
        <w:t>供应商须提供的资格证明文件详见第四章《资格审查表》</w:t>
      </w:r>
    </w:p>
    <w:p w14:paraId="5554CF84">
      <w:r>
        <w:br w:type="page"/>
      </w:r>
    </w:p>
    <w:p w14:paraId="53367711">
      <w:pPr>
        <w:pStyle w:val="4"/>
        <w:numPr>
          <w:ilvl w:val="0"/>
          <w:numId w:val="30"/>
        </w:numPr>
        <w:tabs>
          <w:tab w:val="left" w:pos="1605"/>
        </w:tabs>
      </w:pPr>
      <w:bookmarkStart w:id="613" w:name="_Toc163493656"/>
      <w:bookmarkStart w:id="614" w:name="_Toc156490364"/>
      <w:bookmarkStart w:id="615" w:name="_Toc24497"/>
      <w:bookmarkStart w:id="616" w:name="_Toc9188"/>
      <w:r>
        <w:rPr>
          <w:rFonts w:hint="eastAsia"/>
        </w:rPr>
        <w:t>业绩证明文件</w:t>
      </w:r>
      <w:bookmarkEnd w:id="613"/>
      <w:bookmarkEnd w:id="614"/>
      <w:bookmarkEnd w:id="615"/>
      <w:bookmarkEnd w:id="616"/>
    </w:p>
    <w:p w14:paraId="1D867149">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555A8735">
      <w:pPr>
        <w:rPr>
          <w:rFonts w:cs="Arial"/>
          <w:bCs/>
          <w:szCs w:val="21"/>
        </w:rPr>
      </w:pPr>
      <w:r>
        <w:rPr>
          <w:rFonts w:hint="eastAsia" w:cs="仿宋_GB2312"/>
        </w:rPr>
        <w:t>项目编号：</w:t>
      </w:r>
      <w:r>
        <w:rPr>
          <w:rFonts w:cs="Arial"/>
          <w:bCs/>
          <w:szCs w:val="21"/>
        </w:rPr>
        <w:fldChar w:fldCharType="end"/>
      </w:r>
    </w:p>
    <w:tbl>
      <w:tblPr>
        <w:tblStyle w:val="26"/>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1F3E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70F6308">
            <w:pPr>
              <w:pStyle w:val="43"/>
              <w:jc w:val="center"/>
              <w:rPr>
                <w:b/>
                <w:bCs/>
              </w:rPr>
            </w:pPr>
            <w:r>
              <w:rPr>
                <w:rFonts w:hint="eastAsia"/>
                <w:b/>
                <w:bCs/>
              </w:rPr>
              <w:t>序号</w:t>
            </w:r>
          </w:p>
        </w:tc>
        <w:tc>
          <w:tcPr>
            <w:tcW w:w="1290" w:type="dxa"/>
            <w:vAlign w:val="center"/>
          </w:tcPr>
          <w:p w14:paraId="6B3F96CE">
            <w:pPr>
              <w:pStyle w:val="43"/>
              <w:jc w:val="center"/>
              <w:rPr>
                <w:b/>
                <w:bCs/>
              </w:rPr>
            </w:pPr>
            <w:r>
              <w:rPr>
                <w:rFonts w:hint="eastAsia"/>
                <w:b/>
                <w:bCs/>
              </w:rPr>
              <w:t>完成时间</w:t>
            </w:r>
          </w:p>
        </w:tc>
        <w:tc>
          <w:tcPr>
            <w:tcW w:w="1290" w:type="dxa"/>
            <w:vAlign w:val="center"/>
          </w:tcPr>
          <w:p w14:paraId="14A09A6E">
            <w:pPr>
              <w:pStyle w:val="43"/>
              <w:jc w:val="center"/>
              <w:rPr>
                <w:b/>
                <w:bCs/>
              </w:rPr>
            </w:pPr>
            <w:r>
              <w:rPr>
                <w:rFonts w:hint="eastAsia"/>
                <w:b/>
                <w:bCs/>
              </w:rPr>
              <w:t>项目名称</w:t>
            </w:r>
          </w:p>
        </w:tc>
        <w:tc>
          <w:tcPr>
            <w:tcW w:w="1290" w:type="dxa"/>
            <w:vAlign w:val="center"/>
          </w:tcPr>
          <w:p w14:paraId="2E42EFCD">
            <w:pPr>
              <w:pStyle w:val="43"/>
              <w:jc w:val="center"/>
              <w:rPr>
                <w:b/>
                <w:bCs/>
              </w:rPr>
            </w:pPr>
            <w:r>
              <w:rPr>
                <w:rFonts w:hint="eastAsia"/>
                <w:b/>
                <w:bCs/>
              </w:rPr>
              <w:t>服务内容</w:t>
            </w:r>
          </w:p>
        </w:tc>
        <w:tc>
          <w:tcPr>
            <w:tcW w:w="1290" w:type="dxa"/>
            <w:vAlign w:val="center"/>
          </w:tcPr>
          <w:p w14:paraId="5B9DA559">
            <w:pPr>
              <w:pStyle w:val="43"/>
              <w:jc w:val="center"/>
              <w:rPr>
                <w:b/>
                <w:bCs/>
              </w:rPr>
            </w:pPr>
            <w:r>
              <w:rPr>
                <w:rFonts w:hint="eastAsia"/>
                <w:b/>
                <w:bCs/>
              </w:rPr>
              <w:t>甲方名称</w:t>
            </w:r>
          </w:p>
        </w:tc>
        <w:tc>
          <w:tcPr>
            <w:tcW w:w="1290" w:type="dxa"/>
            <w:vAlign w:val="center"/>
          </w:tcPr>
          <w:p w14:paraId="72522536">
            <w:pPr>
              <w:pStyle w:val="43"/>
              <w:jc w:val="center"/>
              <w:rPr>
                <w:b/>
                <w:bCs/>
              </w:rPr>
            </w:pPr>
            <w:r>
              <w:rPr>
                <w:rFonts w:hint="eastAsia"/>
                <w:b/>
                <w:bCs/>
              </w:rPr>
              <w:t>联系人</w:t>
            </w:r>
          </w:p>
        </w:tc>
        <w:tc>
          <w:tcPr>
            <w:tcW w:w="1293" w:type="dxa"/>
            <w:vAlign w:val="center"/>
          </w:tcPr>
          <w:p w14:paraId="53D1E5A2">
            <w:pPr>
              <w:pStyle w:val="43"/>
              <w:jc w:val="center"/>
              <w:rPr>
                <w:b/>
                <w:bCs/>
              </w:rPr>
            </w:pPr>
            <w:r>
              <w:rPr>
                <w:rFonts w:hint="eastAsia"/>
                <w:b/>
                <w:bCs/>
              </w:rPr>
              <w:t>联系电话</w:t>
            </w:r>
          </w:p>
        </w:tc>
      </w:tr>
      <w:tr w14:paraId="1C32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61AF6F1">
            <w:pPr>
              <w:pStyle w:val="43"/>
              <w:jc w:val="center"/>
            </w:pPr>
            <w:r>
              <w:rPr>
                <w:rFonts w:hint="eastAsia"/>
              </w:rPr>
              <w:t>1</w:t>
            </w:r>
          </w:p>
        </w:tc>
        <w:tc>
          <w:tcPr>
            <w:tcW w:w="1290" w:type="dxa"/>
            <w:vAlign w:val="center"/>
          </w:tcPr>
          <w:p w14:paraId="5519D24B">
            <w:pPr>
              <w:pStyle w:val="43"/>
            </w:pPr>
          </w:p>
        </w:tc>
        <w:tc>
          <w:tcPr>
            <w:tcW w:w="1290" w:type="dxa"/>
            <w:vAlign w:val="center"/>
          </w:tcPr>
          <w:p w14:paraId="01004904">
            <w:pPr>
              <w:pStyle w:val="43"/>
            </w:pPr>
          </w:p>
        </w:tc>
        <w:tc>
          <w:tcPr>
            <w:tcW w:w="1290" w:type="dxa"/>
            <w:vAlign w:val="center"/>
          </w:tcPr>
          <w:p w14:paraId="4CEF22B1">
            <w:pPr>
              <w:pStyle w:val="43"/>
            </w:pPr>
          </w:p>
        </w:tc>
        <w:tc>
          <w:tcPr>
            <w:tcW w:w="1290" w:type="dxa"/>
            <w:vAlign w:val="center"/>
          </w:tcPr>
          <w:p w14:paraId="2F1C84BA">
            <w:pPr>
              <w:pStyle w:val="43"/>
            </w:pPr>
          </w:p>
        </w:tc>
        <w:tc>
          <w:tcPr>
            <w:tcW w:w="1290" w:type="dxa"/>
            <w:vAlign w:val="center"/>
          </w:tcPr>
          <w:p w14:paraId="62600190">
            <w:pPr>
              <w:pStyle w:val="43"/>
            </w:pPr>
          </w:p>
        </w:tc>
        <w:tc>
          <w:tcPr>
            <w:tcW w:w="1293" w:type="dxa"/>
            <w:vAlign w:val="center"/>
          </w:tcPr>
          <w:p w14:paraId="191503BC">
            <w:pPr>
              <w:pStyle w:val="43"/>
            </w:pPr>
          </w:p>
        </w:tc>
      </w:tr>
      <w:tr w14:paraId="4556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5291ED">
            <w:pPr>
              <w:pStyle w:val="43"/>
              <w:jc w:val="center"/>
            </w:pPr>
            <w:r>
              <w:rPr>
                <w:rFonts w:hint="eastAsia"/>
              </w:rPr>
              <w:t>2</w:t>
            </w:r>
          </w:p>
        </w:tc>
        <w:tc>
          <w:tcPr>
            <w:tcW w:w="1290" w:type="dxa"/>
            <w:vAlign w:val="center"/>
          </w:tcPr>
          <w:p w14:paraId="2BA183F3">
            <w:pPr>
              <w:pStyle w:val="43"/>
            </w:pPr>
          </w:p>
        </w:tc>
        <w:tc>
          <w:tcPr>
            <w:tcW w:w="1290" w:type="dxa"/>
            <w:vAlign w:val="center"/>
          </w:tcPr>
          <w:p w14:paraId="49A642ED">
            <w:pPr>
              <w:pStyle w:val="43"/>
            </w:pPr>
          </w:p>
        </w:tc>
        <w:tc>
          <w:tcPr>
            <w:tcW w:w="1290" w:type="dxa"/>
            <w:vAlign w:val="center"/>
          </w:tcPr>
          <w:p w14:paraId="24F2988D">
            <w:pPr>
              <w:pStyle w:val="43"/>
            </w:pPr>
          </w:p>
        </w:tc>
        <w:tc>
          <w:tcPr>
            <w:tcW w:w="1290" w:type="dxa"/>
            <w:vAlign w:val="center"/>
          </w:tcPr>
          <w:p w14:paraId="0296EF0B">
            <w:pPr>
              <w:pStyle w:val="43"/>
            </w:pPr>
          </w:p>
        </w:tc>
        <w:tc>
          <w:tcPr>
            <w:tcW w:w="1290" w:type="dxa"/>
            <w:vAlign w:val="center"/>
          </w:tcPr>
          <w:p w14:paraId="32A6B3B2">
            <w:pPr>
              <w:pStyle w:val="43"/>
            </w:pPr>
          </w:p>
        </w:tc>
        <w:tc>
          <w:tcPr>
            <w:tcW w:w="1293" w:type="dxa"/>
            <w:vAlign w:val="center"/>
          </w:tcPr>
          <w:p w14:paraId="343443B4">
            <w:pPr>
              <w:pStyle w:val="43"/>
            </w:pPr>
          </w:p>
        </w:tc>
      </w:tr>
      <w:tr w14:paraId="2AAD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29D8A0C">
            <w:pPr>
              <w:pStyle w:val="43"/>
              <w:jc w:val="center"/>
            </w:pPr>
            <w:r>
              <w:rPr>
                <w:rFonts w:hint="eastAsia"/>
              </w:rPr>
              <w:t>3</w:t>
            </w:r>
          </w:p>
        </w:tc>
        <w:tc>
          <w:tcPr>
            <w:tcW w:w="1290" w:type="dxa"/>
            <w:vAlign w:val="center"/>
          </w:tcPr>
          <w:p w14:paraId="253123DC">
            <w:pPr>
              <w:pStyle w:val="43"/>
            </w:pPr>
          </w:p>
        </w:tc>
        <w:tc>
          <w:tcPr>
            <w:tcW w:w="1290" w:type="dxa"/>
            <w:vAlign w:val="center"/>
          </w:tcPr>
          <w:p w14:paraId="435CDB2F">
            <w:pPr>
              <w:pStyle w:val="43"/>
            </w:pPr>
          </w:p>
        </w:tc>
        <w:tc>
          <w:tcPr>
            <w:tcW w:w="1290" w:type="dxa"/>
            <w:vAlign w:val="center"/>
          </w:tcPr>
          <w:p w14:paraId="6FCCA8A7">
            <w:pPr>
              <w:pStyle w:val="43"/>
            </w:pPr>
          </w:p>
        </w:tc>
        <w:tc>
          <w:tcPr>
            <w:tcW w:w="1290" w:type="dxa"/>
            <w:vAlign w:val="center"/>
          </w:tcPr>
          <w:p w14:paraId="4BB41865">
            <w:pPr>
              <w:pStyle w:val="43"/>
            </w:pPr>
          </w:p>
        </w:tc>
        <w:tc>
          <w:tcPr>
            <w:tcW w:w="1290" w:type="dxa"/>
            <w:vAlign w:val="center"/>
          </w:tcPr>
          <w:p w14:paraId="10A6B534">
            <w:pPr>
              <w:pStyle w:val="43"/>
            </w:pPr>
          </w:p>
        </w:tc>
        <w:tc>
          <w:tcPr>
            <w:tcW w:w="1293" w:type="dxa"/>
            <w:vAlign w:val="center"/>
          </w:tcPr>
          <w:p w14:paraId="00979428">
            <w:pPr>
              <w:pStyle w:val="43"/>
            </w:pPr>
          </w:p>
        </w:tc>
      </w:tr>
      <w:tr w14:paraId="4A11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4215B6FC">
            <w:pPr>
              <w:pStyle w:val="43"/>
              <w:jc w:val="center"/>
            </w:pPr>
            <w:r>
              <w:rPr>
                <w:rFonts w:hint="eastAsia"/>
              </w:rPr>
              <w:t>4</w:t>
            </w:r>
          </w:p>
        </w:tc>
        <w:tc>
          <w:tcPr>
            <w:tcW w:w="1290" w:type="dxa"/>
            <w:vAlign w:val="center"/>
          </w:tcPr>
          <w:p w14:paraId="0ABBA149">
            <w:pPr>
              <w:pStyle w:val="43"/>
            </w:pPr>
          </w:p>
        </w:tc>
        <w:tc>
          <w:tcPr>
            <w:tcW w:w="1290" w:type="dxa"/>
            <w:vAlign w:val="center"/>
          </w:tcPr>
          <w:p w14:paraId="7815483B">
            <w:pPr>
              <w:pStyle w:val="43"/>
            </w:pPr>
          </w:p>
        </w:tc>
        <w:tc>
          <w:tcPr>
            <w:tcW w:w="1290" w:type="dxa"/>
            <w:vAlign w:val="center"/>
          </w:tcPr>
          <w:p w14:paraId="791607E7">
            <w:pPr>
              <w:pStyle w:val="43"/>
            </w:pPr>
          </w:p>
        </w:tc>
        <w:tc>
          <w:tcPr>
            <w:tcW w:w="1290" w:type="dxa"/>
            <w:vAlign w:val="center"/>
          </w:tcPr>
          <w:p w14:paraId="535DBC9A">
            <w:pPr>
              <w:pStyle w:val="43"/>
            </w:pPr>
          </w:p>
        </w:tc>
        <w:tc>
          <w:tcPr>
            <w:tcW w:w="1290" w:type="dxa"/>
            <w:vAlign w:val="center"/>
          </w:tcPr>
          <w:p w14:paraId="5CC6E182">
            <w:pPr>
              <w:pStyle w:val="43"/>
            </w:pPr>
          </w:p>
        </w:tc>
        <w:tc>
          <w:tcPr>
            <w:tcW w:w="1293" w:type="dxa"/>
            <w:vAlign w:val="center"/>
          </w:tcPr>
          <w:p w14:paraId="363E51DE">
            <w:pPr>
              <w:pStyle w:val="43"/>
            </w:pPr>
          </w:p>
        </w:tc>
      </w:tr>
      <w:tr w14:paraId="047D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A58B664">
            <w:pPr>
              <w:pStyle w:val="43"/>
              <w:jc w:val="center"/>
            </w:pPr>
            <w:r>
              <w:rPr>
                <w:rFonts w:hint="eastAsia"/>
              </w:rPr>
              <w:t>5</w:t>
            </w:r>
          </w:p>
        </w:tc>
        <w:tc>
          <w:tcPr>
            <w:tcW w:w="1290" w:type="dxa"/>
            <w:vAlign w:val="center"/>
          </w:tcPr>
          <w:p w14:paraId="1967A92E">
            <w:pPr>
              <w:pStyle w:val="43"/>
            </w:pPr>
          </w:p>
        </w:tc>
        <w:tc>
          <w:tcPr>
            <w:tcW w:w="1290" w:type="dxa"/>
            <w:vAlign w:val="center"/>
          </w:tcPr>
          <w:p w14:paraId="35B3A198">
            <w:pPr>
              <w:pStyle w:val="43"/>
            </w:pPr>
          </w:p>
        </w:tc>
        <w:tc>
          <w:tcPr>
            <w:tcW w:w="1290" w:type="dxa"/>
            <w:vAlign w:val="center"/>
          </w:tcPr>
          <w:p w14:paraId="67EB8964">
            <w:pPr>
              <w:pStyle w:val="43"/>
            </w:pPr>
          </w:p>
        </w:tc>
        <w:tc>
          <w:tcPr>
            <w:tcW w:w="1290" w:type="dxa"/>
            <w:vAlign w:val="center"/>
          </w:tcPr>
          <w:p w14:paraId="37069C7C">
            <w:pPr>
              <w:pStyle w:val="43"/>
            </w:pPr>
          </w:p>
        </w:tc>
        <w:tc>
          <w:tcPr>
            <w:tcW w:w="1290" w:type="dxa"/>
            <w:vAlign w:val="center"/>
          </w:tcPr>
          <w:p w14:paraId="7FB14DA9">
            <w:pPr>
              <w:pStyle w:val="43"/>
            </w:pPr>
          </w:p>
        </w:tc>
        <w:tc>
          <w:tcPr>
            <w:tcW w:w="1293" w:type="dxa"/>
            <w:vAlign w:val="center"/>
          </w:tcPr>
          <w:p w14:paraId="3DE27870">
            <w:pPr>
              <w:pStyle w:val="43"/>
            </w:pPr>
          </w:p>
        </w:tc>
      </w:tr>
      <w:tr w14:paraId="7473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950A6">
            <w:pPr>
              <w:pStyle w:val="43"/>
              <w:jc w:val="center"/>
            </w:pPr>
            <w:r>
              <w:rPr>
                <w:rFonts w:hint="eastAsia"/>
              </w:rPr>
              <w:t>6</w:t>
            </w:r>
          </w:p>
        </w:tc>
        <w:tc>
          <w:tcPr>
            <w:tcW w:w="1290" w:type="dxa"/>
            <w:vAlign w:val="center"/>
          </w:tcPr>
          <w:p w14:paraId="697E34A9">
            <w:pPr>
              <w:pStyle w:val="43"/>
            </w:pPr>
          </w:p>
        </w:tc>
        <w:tc>
          <w:tcPr>
            <w:tcW w:w="1290" w:type="dxa"/>
            <w:vAlign w:val="center"/>
          </w:tcPr>
          <w:p w14:paraId="721EE704">
            <w:pPr>
              <w:pStyle w:val="43"/>
            </w:pPr>
          </w:p>
        </w:tc>
        <w:tc>
          <w:tcPr>
            <w:tcW w:w="1290" w:type="dxa"/>
            <w:vAlign w:val="center"/>
          </w:tcPr>
          <w:p w14:paraId="49B9BC7F">
            <w:pPr>
              <w:pStyle w:val="43"/>
            </w:pPr>
          </w:p>
        </w:tc>
        <w:tc>
          <w:tcPr>
            <w:tcW w:w="1290" w:type="dxa"/>
            <w:vAlign w:val="center"/>
          </w:tcPr>
          <w:p w14:paraId="358F5523">
            <w:pPr>
              <w:pStyle w:val="43"/>
            </w:pPr>
          </w:p>
        </w:tc>
        <w:tc>
          <w:tcPr>
            <w:tcW w:w="1290" w:type="dxa"/>
            <w:vAlign w:val="center"/>
          </w:tcPr>
          <w:p w14:paraId="64DDA4FB">
            <w:pPr>
              <w:pStyle w:val="43"/>
            </w:pPr>
          </w:p>
        </w:tc>
        <w:tc>
          <w:tcPr>
            <w:tcW w:w="1293" w:type="dxa"/>
            <w:vAlign w:val="center"/>
          </w:tcPr>
          <w:p w14:paraId="06D6C81A">
            <w:pPr>
              <w:pStyle w:val="43"/>
            </w:pPr>
          </w:p>
        </w:tc>
      </w:tr>
      <w:tr w14:paraId="4A05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088885F">
            <w:pPr>
              <w:pStyle w:val="43"/>
              <w:jc w:val="center"/>
            </w:pPr>
            <w:r>
              <w:rPr>
                <w:rFonts w:hint="eastAsia"/>
              </w:rPr>
              <w:t>7</w:t>
            </w:r>
          </w:p>
        </w:tc>
        <w:tc>
          <w:tcPr>
            <w:tcW w:w="1290" w:type="dxa"/>
            <w:vAlign w:val="center"/>
          </w:tcPr>
          <w:p w14:paraId="7D3C172F">
            <w:pPr>
              <w:pStyle w:val="43"/>
            </w:pPr>
          </w:p>
        </w:tc>
        <w:tc>
          <w:tcPr>
            <w:tcW w:w="1290" w:type="dxa"/>
            <w:vAlign w:val="center"/>
          </w:tcPr>
          <w:p w14:paraId="6C5610B8">
            <w:pPr>
              <w:pStyle w:val="43"/>
            </w:pPr>
          </w:p>
        </w:tc>
        <w:tc>
          <w:tcPr>
            <w:tcW w:w="1290" w:type="dxa"/>
            <w:vAlign w:val="center"/>
          </w:tcPr>
          <w:p w14:paraId="2583CB73">
            <w:pPr>
              <w:pStyle w:val="43"/>
            </w:pPr>
          </w:p>
        </w:tc>
        <w:tc>
          <w:tcPr>
            <w:tcW w:w="1290" w:type="dxa"/>
            <w:vAlign w:val="center"/>
          </w:tcPr>
          <w:p w14:paraId="1C09EBED">
            <w:pPr>
              <w:pStyle w:val="43"/>
            </w:pPr>
          </w:p>
        </w:tc>
        <w:tc>
          <w:tcPr>
            <w:tcW w:w="1290" w:type="dxa"/>
            <w:vAlign w:val="center"/>
          </w:tcPr>
          <w:p w14:paraId="613D44CF">
            <w:pPr>
              <w:pStyle w:val="43"/>
            </w:pPr>
          </w:p>
        </w:tc>
        <w:tc>
          <w:tcPr>
            <w:tcW w:w="1293" w:type="dxa"/>
            <w:vAlign w:val="center"/>
          </w:tcPr>
          <w:p w14:paraId="7FF79657">
            <w:pPr>
              <w:pStyle w:val="43"/>
            </w:pPr>
          </w:p>
        </w:tc>
      </w:tr>
      <w:tr w14:paraId="7D9A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B6EF65E">
            <w:pPr>
              <w:pStyle w:val="43"/>
              <w:jc w:val="center"/>
            </w:pPr>
            <w:r>
              <w:rPr>
                <w:rFonts w:hint="eastAsia"/>
              </w:rPr>
              <w:t>8</w:t>
            </w:r>
          </w:p>
        </w:tc>
        <w:tc>
          <w:tcPr>
            <w:tcW w:w="1290" w:type="dxa"/>
            <w:vAlign w:val="center"/>
          </w:tcPr>
          <w:p w14:paraId="7BD86E67">
            <w:pPr>
              <w:pStyle w:val="43"/>
            </w:pPr>
          </w:p>
        </w:tc>
        <w:tc>
          <w:tcPr>
            <w:tcW w:w="1290" w:type="dxa"/>
            <w:vAlign w:val="center"/>
          </w:tcPr>
          <w:p w14:paraId="6795AA76">
            <w:pPr>
              <w:pStyle w:val="43"/>
            </w:pPr>
          </w:p>
        </w:tc>
        <w:tc>
          <w:tcPr>
            <w:tcW w:w="1290" w:type="dxa"/>
            <w:vAlign w:val="center"/>
          </w:tcPr>
          <w:p w14:paraId="1900C0B2">
            <w:pPr>
              <w:pStyle w:val="43"/>
            </w:pPr>
          </w:p>
        </w:tc>
        <w:tc>
          <w:tcPr>
            <w:tcW w:w="1290" w:type="dxa"/>
            <w:vAlign w:val="center"/>
          </w:tcPr>
          <w:p w14:paraId="448BFAF3">
            <w:pPr>
              <w:pStyle w:val="43"/>
            </w:pPr>
          </w:p>
        </w:tc>
        <w:tc>
          <w:tcPr>
            <w:tcW w:w="1290" w:type="dxa"/>
            <w:vAlign w:val="center"/>
          </w:tcPr>
          <w:p w14:paraId="27C25C3D">
            <w:pPr>
              <w:pStyle w:val="43"/>
            </w:pPr>
          </w:p>
        </w:tc>
        <w:tc>
          <w:tcPr>
            <w:tcW w:w="1293" w:type="dxa"/>
            <w:vAlign w:val="center"/>
          </w:tcPr>
          <w:p w14:paraId="63A57E9C">
            <w:pPr>
              <w:pStyle w:val="43"/>
            </w:pPr>
          </w:p>
        </w:tc>
      </w:tr>
      <w:tr w14:paraId="65FC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90FE81E">
            <w:pPr>
              <w:pStyle w:val="43"/>
              <w:jc w:val="center"/>
            </w:pPr>
            <w:r>
              <w:rPr>
                <w:rFonts w:hint="eastAsia"/>
              </w:rPr>
              <w:t>9</w:t>
            </w:r>
          </w:p>
        </w:tc>
        <w:tc>
          <w:tcPr>
            <w:tcW w:w="1290" w:type="dxa"/>
            <w:vAlign w:val="center"/>
          </w:tcPr>
          <w:p w14:paraId="6A08EB8D">
            <w:pPr>
              <w:pStyle w:val="43"/>
            </w:pPr>
          </w:p>
        </w:tc>
        <w:tc>
          <w:tcPr>
            <w:tcW w:w="1290" w:type="dxa"/>
            <w:vAlign w:val="center"/>
          </w:tcPr>
          <w:p w14:paraId="21741369">
            <w:pPr>
              <w:pStyle w:val="43"/>
            </w:pPr>
          </w:p>
        </w:tc>
        <w:tc>
          <w:tcPr>
            <w:tcW w:w="1290" w:type="dxa"/>
            <w:vAlign w:val="center"/>
          </w:tcPr>
          <w:p w14:paraId="621DFEA9">
            <w:pPr>
              <w:pStyle w:val="43"/>
            </w:pPr>
          </w:p>
        </w:tc>
        <w:tc>
          <w:tcPr>
            <w:tcW w:w="1290" w:type="dxa"/>
            <w:vAlign w:val="center"/>
          </w:tcPr>
          <w:p w14:paraId="2E2738D6">
            <w:pPr>
              <w:pStyle w:val="43"/>
            </w:pPr>
          </w:p>
        </w:tc>
        <w:tc>
          <w:tcPr>
            <w:tcW w:w="1290" w:type="dxa"/>
            <w:vAlign w:val="center"/>
          </w:tcPr>
          <w:p w14:paraId="2509942D">
            <w:pPr>
              <w:pStyle w:val="43"/>
            </w:pPr>
          </w:p>
        </w:tc>
        <w:tc>
          <w:tcPr>
            <w:tcW w:w="1293" w:type="dxa"/>
            <w:vAlign w:val="center"/>
          </w:tcPr>
          <w:p w14:paraId="2ED8817E">
            <w:pPr>
              <w:pStyle w:val="43"/>
            </w:pPr>
          </w:p>
        </w:tc>
      </w:tr>
      <w:tr w14:paraId="21B7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011631A">
            <w:pPr>
              <w:pStyle w:val="43"/>
            </w:pPr>
            <w:r>
              <w:rPr>
                <w:rFonts w:hint="eastAsia"/>
              </w:rPr>
              <w:t>…</w:t>
            </w:r>
          </w:p>
        </w:tc>
        <w:tc>
          <w:tcPr>
            <w:tcW w:w="1290" w:type="dxa"/>
            <w:vAlign w:val="center"/>
          </w:tcPr>
          <w:p w14:paraId="2C2F0F11">
            <w:pPr>
              <w:pStyle w:val="43"/>
            </w:pPr>
          </w:p>
        </w:tc>
        <w:tc>
          <w:tcPr>
            <w:tcW w:w="1290" w:type="dxa"/>
            <w:vAlign w:val="center"/>
          </w:tcPr>
          <w:p w14:paraId="3A9BB6C8">
            <w:pPr>
              <w:pStyle w:val="43"/>
            </w:pPr>
          </w:p>
        </w:tc>
        <w:tc>
          <w:tcPr>
            <w:tcW w:w="1290" w:type="dxa"/>
            <w:vAlign w:val="center"/>
          </w:tcPr>
          <w:p w14:paraId="6710B214">
            <w:pPr>
              <w:pStyle w:val="43"/>
            </w:pPr>
          </w:p>
        </w:tc>
        <w:tc>
          <w:tcPr>
            <w:tcW w:w="1290" w:type="dxa"/>
            <w:vAlign w:val="center"/>
          </w:tcPr>
          <w:p w14:paraId="36B3B1EC">
            <w:pPr>
              <w:pStyle w:val="43"/>
            </w:pPr>
          </w:p>
        </w:tc>
        <w:tc>
          <w:tcPr>
            <w:tcW w:w="1290" w:type="dxa"/>
            <w:vAlign w:val="center"/>
          </w:tcPr>
          <w:p w14:paraId="252F14F5">
            <w:pPr>
              <w:pStyle w:val="43"/>
            </w:pPr>
          </w:p>
        </w:tc>
        <w:tc>
          <w:tcPr>
            <w:tcW w:w="1293" w:type="dxa"/>
            <w:vAlign w:val="center"/>
          </w:tcPr>
          <w:p w14:paraId="11D8B5F1">
            <w:pPr>
              <w:pStyle w:val="43"/>
            </w:pPr>
          </w:p>
        </w:tc>
      </w:tr>
    </w:tbl>
    <w:p w14:paraId="74D9D14D">
      <w:pPr>
        <w:rPr>
          <w:rFonts w:cs="仿宋_GB2312"/>
        </w:rPr>
      </w:pPr>
      <w:r>
        <w:rPr>
          <w:rFonts w:hint="eastAsia" w:cs="仿宋_GB2312"/>
        </w:rPr>
        <w:t>注：供应商须按上表提供相应的业绩证明资料。</w:t>
      </w:r>
    </w:p>
    <w:p w14:paraId="4AF5572B">
      <w:pPr>
        <w:widowControl/>
        <w:spacing w:before="100" w:beforeAutospacing="1" w:after="100" w:afterAutospacing="1"/>
        <w:rPr>
          <w:rFonts w:cs="Arial"/>
          <w:szCs w:val="21"/>
        </w:rPr>
      </w:pPr>
    </w:p>
    <w:p w14:paraId="54FBB9B5">
      <w:pPr>
        <w:rPr>
          <w:rFonts w:cs="仿宋_GB2312"/>
        </w:rPr>
      </w:pPr>
      <w:r>
        <w:rPr>
          <w:rFonts w:hint="eastAsia" w:cs="仿宋_GB2312"/>
        </w:rPr>
        <w:t>供应商名称：</w:t>
      </w:r>
      <w:r>
        <w:rPr>
          <w:rFonts w:hint="eastAsia" w:cs="仿宋_GB2312"/>
          <w:u w:val="single"/>
        </w:rPr>
        <w:t xml:space="preserve">                    </w:t>
      </w:r>
      <w:r>
        <w:rPr>
          <w:rFonts w:hint="eastAsia" w:cs="仿宋_GB2312"/>
        </w:rPr>
        <w:t xml:space="preserve">（盖章） </w:t>
      </w:r>
    </w:p>
    <w:p w14:paraId="2299CEDB">
      <w:pPr>
        <w:rPr>
          <w:rFonts w:cs="仿宋_GB2312"/>
        </w:rPr>
      </w:pPr>
      <w:r>
        <w:rPr>
          <w:rFonts w:hint="eastAsia" w:cs="仿宋_GB2312"/>
        </w:rPr>
        <w:t>日      期：    年   月   日</w:t>
      </w:r>
    </w:p>
    <w:p w14:paraId="3027DD84">
      <w:pPr>
        <w:rPr>
          <w:rFonts w:cs="仿宋_GB2312"/>
        </w:rPr>
      </w:pPr>
      <w:r>
        <w:rPr>
          <w:rFonts w:cs="仿宋_GB2312"/>
        </w:rPr>
        <w:br w:type="page"/>
      </w:r>
    </w:p>
    <w:p w14:paraId="035E6DEE">
      <w:pPr>
        <w:pStyle w:val="4"/>
        <w:numPr>
          <w:ilvl w:val="0"/>
          <w:numId w:val="30"/>
        </w:numPr>
        <w:tabs>
          <w:tab w:val="left" w:pos="1605"/>
        </w:tabs>
      </w:pPr>
      <w:bookmarkStart w:id="617" w:name="_Toc22364"/>
      <w:bookmarkStart w:id="618" w:name="_Toc163493657"/>
      <w:bookmarkStart w:id="619" w:name="_Toc156490365"/>
      <w:bookmarkStart w:id="620" w:name="_Toc21176"/>
      <w:r>
        <w:rPr>
          <w:rFonts w:hint="eastAsia"/>
        </w:rPr>
        <w:t>信誉、荣誉状况证明文件</w:t>
      </w:r>
      <w:bookmarkEnd w:id="617"/>
      <w:bookmarkEnd w:id="618"/>
      <w:bookmarkEnd w:id="619"/>
      <w:bookmarkEnd w:id="620"/>
    </w:p>
    <w:p w14:paraId="37848AEF"/>
    <w:p w14:paraId="010076A9">
      <w:pPr>
        <w:ind w:firstLine="480" w:firstLineChars="200"/>
        <w:rPr>
          <w:rFonts w:cs="仿宋_GB2312"/>
        </w:rPr>
      </w:pPr>
      <w:r>
        <w:rPr>
          <w:rFonts w:hint="eastAsia" w:cs="仿宋_GB2312"/>
        </w:rPr>
        <w:t>企业获得的荣誉证书、认证体系等。</w:t>
      </w:r>
    </w:p>
    <w:p w14:paraId="075A680A">
      <w:r>
        <w:br w:type="page"/>
      </w:r>
    </w:p>
    <w:p w14:paraId="0A757EF3">
      <w:pPr>
        <w:pStyle w:val="4"/>
        <w:numPr>
          <w:ilvl w:val="0"/>
          <w:numId w:val="30"/>
        </w:numPr>
        <w:tabs>
          <w:tab w:val="left" w:pos="1605"/>
        </w:tabs>
      </w:pPr>
      <w:bookmarkStart w:id="621" w:name="_Toc21330"/>
      <w:bookmarkStart w:id="622" w:name="_Toc163493658"/>
      <w:bookmarkStart w:id="623" w:name="_Toc156490366"/>
      <w:bookmarkStart w:id="624" w:name="_Toc2120"/>
      <w:r>
        <w:rPr>
          <w:rFonts w:hint="eastAsia"/>
        </w:rPr>
        <w:t>商务响应偏离表</w:t>
      </w:r>
      <w:bookmarkEnd w:id="621"/>
      <w:bookmarkEnd w:id="622"/>
      <w:bookmarkEnd w:id="623"/>
      <w:bookmarkEnd w:id="624"/>
      <w:r>
        <w:rPr>
          <w:rFonts w:hint="eastAsia"/>
          <w:lang w:eastAsia="zh-CN"/>
        </w:rPr>
        <w:t>（</w:t>
      </w:r>
      <w:r>
        <w:rPr>
          <w:rFonts w:hint="eastAsia"/>
          <w:lang w:val="en-US" w:eastAsia="zh-CN"/>
        </w:rPr>
        <w:t>如有</w:t>
      </w:r>
      <w:r>
        <w:rPr>
          <w:rFonts w:hint="eastAsia"/>
          <w:lang w:eastAsia="zh-CN"/>
        </w:rPr>
        <w:t>）</w:t>
      </w:r>
    </w:p>
    <w:p w14:paraId="2DFFD70F">
      <w:pPr>
        <w:rPr>
          <w:rFonts w:cs="仿宋_GB2312"/>
        </w:rPr>
      </w:pPr>
      <w:r>
        <w:rPr>
          <w:rFonts w:hint="eastAsia" w:cs="仿宋_GB2312"/>
        </w:rPr>
        <w:t xml:space="preserve">项目名称：                                         </w:t>
      </w:r>
    </w:p>
    <w:p w14:paraId="68AF7D4D">
      <w:pPr>
        <w:rPr>
          <w:rFonts w:cs="仿宋_GB2312"/>
        </w:rPr>
      </w:pPr>
      <w:r>
        <w:rPr>
          <w:rFonts w:hint="eastAsia" w:cs="仿宋_GB2312"/>
        </w:rPr>
        <w:t xml:space="preserve">项目编号：        </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667B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14:paraId="4ADA48FC">
            <w:pPr>
              <w:pStyle w:val="43"/>
              <w:rPr>
                <w:sz w:val="24"/>
              </w:rPr>
            </w:pPr>
            <w:bookmarkStart w:id="625" w:name="_Hlk161702910"/>
            <w:r>
              <w:rPr>
                <w:rFonts w:hint="eastAsia"/>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16201701">
            <w:pPr>
              <w:pStyle w:val="43"/>
            </w:pPr>
            <w:r>
              <w:rPr>
                <w:rFonts w:hint="eastAsia"/>
              </w:rPr>
              <w:t>竞争性磋商文件的商务条款</w:t>
            </w:r>
          </w:p>
        </w:tc>
        <w:tc>
          <w:tcPr>
            <w:tcW w:w="1002" w:type="pct"/>
            <w:tcBorders>
              <w:top w:val="single" w:color="auto" w:sz="4" w:space="0"/>
              <w:left w:val="single" w:color="auto" w:sz="4" w:space="0"/>
              <w:bottom w:val="single" w:color="auto" w:sz="4" w:space="0"/>
              <w:right w:val="single" w:color="auto" w:sz="4" w:space="0"/>
            </w:tcBorders>
            <w:vAlign w:val="center"/>
          </w:tcPr>
          <w:p w14:paraId="76C76050">
            <w:pPr>
              <w:pStyle w:val="43"/>
            </w:pPr>
            <w:r>
              <w:rPr>
                <w:rFonts w:hint="eastAsia"/>
              </w:rPr>
              <w:t>响应文件的响应内容</w:t>
            </w:r>
          </w:p>
        </w:tc>
        <w:tc>
          <w:tcPr>
            <w:tcW w:w="1090" w:type="pct"/>
            <w:tcBorders>
              <w:top w:val="single" w:color="auto" w:sz="4" w:space="0"/>
              <w:left w:val="single" w:color="auto" w:sz="4" w:space="0"/>
              <w:bottom w:val="single" w:color="auto" w:sz="4" w:space="0"/>
              <w:right w:val="single" w:color="auto" w:sz="4" w:space="0"/>
            </w:tcBorders>
          </w:tcPr>
          <w:p w14:paraId="03952D1A">
            <w:pPr>
              <w:pStyle w:val="43"/>
            </w:pPr>
            <w:r>
              <w:rPr>
                <w:rFonts w:hint="eastAsia"/>
              </w:rPr>
              <w:t>响应情况</w:t>
            </w:r>
          </w:p>
        </w:tc>
        <w:tc>
          <w:tcPr>
            <w:tcW w:w="1090" w:type="pct"/>
            <w:tcBorders>
              <w:top w:val="single" w:color="auto" w:sz="4" w:space="0"/>
              <w:left w:val="single" w:color="auto" w:sz="4" w:space="0"/>
              <w:bottom w:val="single" w:color="auto" w:sz="4" w:space="0"/>
              <w:right w:val="single" w:color="auto" w:sz="4" w:space="0"/>
            </w:tcBorders>
          </w:tcPr>
          <w:p w14:paraId="58A9C1BD">
            <w:pPr>
              <w:pStyle w:val="43"/>
            </w:pPr>
            <w:r>
              <w:rPr>
                <w:rFonts w:hint="eastAsia"/>
              </w:rPr>
              <w:t>说明及索引</w:t>
            </w:r>
          </w:p>
        </w:tc>
      </w:tr>
      <w:tr w14:paraId="290B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23645B3">
            <w:pPr>
              <w:pStyle w:val="43"/>
            </w:pPr>
            <w:r>
              <w:rPr>
                <w:rFonts w:hint="eastAsia"/>
              </w:rPr>
              <w:t>1</w:t>
            </w:r>
          </w:p>
        </w:tc>
        <w:tc>
          <w:tcPr>
            <w:tcW w:w="1394" w:type="pct"/>
            <w:tcBorders>
              <w:top w:val="single" w:color="auto" w:sz="4" w:space="0"/>
              <w:left w:val="single" w:color="auto" w:sz="4" w:space="0"/>
              <w:bottom w:val="single" w:color="auto" w:sz="4" w:space="0"/>
              <w:right w:val="single" w:color="auto" w:sz="4" w:space="0"/>
            </w:tcBorders>
          </w:tcPr>
          <w:p w14:paraId="6D49943A">
            <w:pPr>
              <w:pStyle w:val="43"/>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5850740E">
            <w:pPr>
              <w:pStyle w:val="43"/>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22655457">
            <w:pPr>
              <w:pStyle w:val="43"/>
            </w:pPr>
            <w:r>
              <w:rPr>
                <w:rFonts w:hint="eastAsia"/>
              </w:rPr>
              <w:t>响应/偏离</w:t>
            </w:r>
          </w:p>
        </w:tc>
        <w:tc>
          <w:tcPr>
            <w:tcW w:w="1090" w:type="pct"/>
            <w:tcBorders>
              <w:top w:val="single" w:color="auto" w:sz="4" w:space="0"/>
              <w:left w:val="single" w:color="auto" w:sz="4" w:space="0"/>
              <w:bottom w:val="single" w:color="auto" w:sz="4" w:space="0"/>
              <w:right w:val="single" w:color="auto" w:sz="4" w:space="0"/>
            </w:tcBorders>
          </w:tcPr>
          <w:p w14:paraId="32F18A36">
            <w:pPr>
              <w:pStyle w:val="43"/>
            </w:pPr>
          </w:p>
        </w:tc>
      </w:tr>
      <w:tr w14:paraId="215B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7A7CF83E">
            <w:pPr>
              <w:pStyle w:val="43"/>
            </w:pPr>
            <w:r>
              <w:rPr>
                <w:rFonts w:hint="eastAsia"/>
              </w:rPr>
              <w:t>2</w:t>
            </w:r>
          </w:p>
        </w:tc>
        <w:tc>
          <w:tcPr>
            <w:tcW w:w="1394" w:type="pct"/>
            <w:tcBorders>
              <w:top w:val="single" w:color="auto" w:sz="4" w:space="0"/>
              <w:left w:val="single" w:color="auto" w:sz="4" w:space="0"/>
              <w:bottom w:val="single" w:color="auto" w:sz="4" w:space="0"/>
              <w:right w:val="single" w:color="auto" w:sz="4" w:space="0"/>
            </w:tcBorders>
          </w:tcPr>
          <w:p w14:paraId="3216DAE5">
            <w:pPr>
              <w:pStyle w:val="43"/>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46785FFE">
            <w:pPr>
              <w:pStyle w:val="43"/>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14C4E994">
            <w:pPr>
              <w:pStyle w:val="43"/>
            </w:pPr>
          </w:p>
        </w:tc>
        <w:tc>
          <w:tcPr>
            <w:tcW w:w="1090" w:type="pct"/>
            <w:tcBorders>
              <w:top w:val="single" w:color="auto" w:sz="4" w:space="0"/>
              <w:left w:val="single" w:color="auto" w:sz="4" w:space="0"/>
              <w:bottom w:val="single" w:color="auto" w:sz="4" w:space="0"/>
              <w:right w:val="single" w:color="auto" w:sz="4" w:space="0"/>
            </w:tcBorders>
          </w:tcPr>
          <w:p w14:paraId="0212CA56">
            <w:pPr>
              <w:pStyle w:val="43"/>
            </w:pPr>
          </w:p>
        </w:tc>
      </w:tr>
      <w:tr w14:paraId="5C82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DF1322E">
            <w:pPr>
              <w:pStyle w:val="43"/>
            </w:pPr>
            <w:r>
              <w:rPr>
                <w:rFonts w:hint="eastAsia"/>
              </w:rPr>
              <w:t>3</w:t>
            </w:r>
          </w:p>
        </w:tc>
        <w:tc>
          <w:tcPr>
            <w:tcW w:w="1394" w:type="pct"/>
            <w:tcBorders>
              <w:top w:val="single" w:color="auto" w:sz="4" w:space="0"/>
              <w:left w:val="single" w:color="auto" w:sz="4" w:space="0"/>
              <w:bottom w:val="single" w:color="auto" w:sz="4" w:space="0"/>
              <w:right w:val="single" w:color="auto" w:sz="4" w:space="0"/>
            </w:tcBorders>
          </w:tcPr>
          <w:p w14:paraId="450F0238">
            <w:pPr>
              <w:pStyle w:val="43"/>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62FC1CBC">
            <w:pPr>
              <w:pStyle w:val="43"/>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0E972393">
            <w:pPr>
              <w:pStyle w:val="43"/>
            </w:pPr>
          </w:p>
        </w:tc>
        <w:tc>
          <w:tcPr>
            <w:tcW w:w="1090" w:type="pct"/>
            <w:tcBorders>
              <w:top w:val="single" w:color="auto" w:sz="4" w:space="0"/>
              <w:left w:val="single" w:color="auto" w:sz="4" w:space="0"/>
              <w:bottom w:val="single" w:color="auto" w:sz="4" w:space="0"/>
              <w:right w:val="single" w:color="auto" w:sz="4" w:space="0"/>
            </w:tcBorders>
          </w:tcPr>
          <w:p w14:paraId="5905349F">
            <w:pPr>
              <w:pStyle w:val="43"/>
            </w:pPr>
          </w:p>
        </w:tc>
      </w:tr>
      <w:tr w14:paraId="7213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762D259E">
            <w:pPr>
              <w:pStyle w:val="43"/>
            </w:pPr>
          </w:p>
        </w:tc>
        <w:tc>
          <w:tcPr>
            <w:tcW w:w="1394" w:type="pct"/>
            <w:tcBorders>
              <w:top w:val="single" w:color="auto" w:sz="4" w:space="0"/>
              <w:left w:val="single" w:color="auto" w:sz="4" w:space="0"/>
              <w:bottom w:val="single" w:color="auto" w:sz="4" w:space="0"/>
              <w:right w:val="single" w:color="auto" w:sz="4" w:space="0"/>
            </w:tcBorders>
          </w:tcPr>
          <w:p w14:paraId="45D23916">
            <w:pPr>
              <w:pStyle w:val="43"/>
            </w:pPr>
          </w:p>
        </w:tc>
        <w:tc>
          <w:tcPr>
            <w:tcW w:w="1002" w:type="pct"/>
            <w:tcBorders>
              <w:top w:val="single" w:color="auto" w:sz="4" w:space="0"/>
              <w:left w:val="single" w:color="auto" w:sz="4" w:space="0"/>
              <w:bottom w:val="single" w:color="auto" w:sz="4" w:space="0"/>
              <w:right w:val="single" w:color="auto" w:sz="4" w:space="0"/>
            </w:tcBorders>
          </w:tcPr>
          <w:p w14:paraId="2D024CEF">
            <w:pPr>
              <w:pStyle w:val="43"/>
            </w:pPr>
          </w:p>
        </w:tc>
        <w:tc>
          <w:tcPr>
            <w:tcW w:w="1090" w:type="pct"/>
            <w:tcBorders>
              <w:top w:val="single" w:color="auto" w:sz="4" w:space="0"/>
              <w:left w:val="single" w:color="auto" w:sz="4" w:space="0"/>
              <w:bottom w:val="single" w:color="auto" w:sz="4" w:space="0"/>
              <w:right w:val="single" w:color="auto" w:sz="4" w:space="0"/>
            </w:tcBorders>
          </w:tcPr>
          <w:p w14:paraId="276FAF64">
            <w:pPr>
              <w:pStyle w:val="43"/>
            </w:pPr>
          </w:p>
        </w:tc>
        <w:tc>
          <w:tcPr>
            <w:tcW w:w="1090" w:type="pct"/>
            <w:tcBorders>
              <w:top w:val="single" w:color="auto" w:sz="4" w:space="0"/>
              <w:left w:val="single" w:color="auto" w:sz="4" w:space="0"/>
              <w:bottom w:val="single" w:color="auto" w:sz="4" w:space="0"/>
              <w:right w:val="single" w:color="auto" w:sz="4" w:space="0"/>
            </w:tcBorders>
          </w:tcPr>
          <w:p w14:paraId="679174F8">
            <w:pPr>
              <w:pStyle w:val="43"/>
            </w:pPr>
          </w:p>
        </w:tc>
      </w:tr>
      <w:tr w14:paraId="5CA5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9C3762D">
            <w:pPr>
              <w:pStyle w:val="43"/>
            </w:pPr>
          </w:p>
        </w:tc>
        <w:tc>
          <w:tcPr>
            <w:tcW w:w="1394" w:type="pct"/>
            <w:tcBorders>
              <w:top w:val="single" w:color="auto" w:sz="4" w:space="0"/>
              <w:left w:val="single" w:color="auto" w:sz="4" w:space="0"/>
              <w:bottom w:val="single" w:color="auto" w:sz="4" w:space="0"/>
              <w:right w:val="single" w:color="auto" w:sz="4" w:space="0"/>
            </w:tcBorders>
          </w:tcPr>
          <w:p w14:paraId="168552FD">
            <w:pPr>
              <w:pStyle w:val="43"/>
            </w:pPr>
          </w:p>
        </w:tc>
        <w:tc>
          <w:tcPr>
            <w:tcW w:w="1002" w:type="pct"/>
            <w:tcBorders>
              <w:top w:val="single" w:color="auto" w:sz="4" w:space="0"/>
              <w:left w:val="single" w:color="auto" w:sz="4" w:space="0"/>
              <w:bottom w:val="single" w:color="auto" w:sz="4" w:space="0"/>
              <w:right w:val="single" w:color="auto" w:sz="4" w:space="0"/>
            </w:tcBorders>
          </w:tcPr>
          <w:p w14:paraId="49912C85">
            <w:pPr>
              <w:pStyle w:val="43"/>
            </w:pPr>
          </w:p>
        </w:tc>
        <w:tc>
          <w:tcPr>
            <w:tcW w:w="1090" w:type="pct"/>
            <w:tcBorders>
              <w:top w:val="single" w:color="auto" w:sz="4" w:space="0"/>
              <w:left w:val="single" w:color="auto" w:sz="4" w:space="0"/>
              <w:bottom w:val="single" w:color="auto" w:sz="4" w:space="0"/>
              <w:right w:val="single" w:color="auto" w:sz="4" w:space="0"/>
            </w:tcBorders>
          </w:tcPr>
          <w:p w14:paraId="21470494">
            <w:pPr>
              <w:pStyle w:val="43"/>
            </w:pPr>
          </w:p>
        </w:tc>
        <w:tc>
          <w:tcPr>
            <w:tcW w:w="1090" w:type="pct"/>
            <w:tcBorders>
              <w:top w:val="single" w:color="auto" w:sz="4" w:space="0"/>
              <w:left w:val="single" w:color="auto" w:sz="4" w:space="0"/>
              <w:bottom w:val="single" w:color="auto" w:sz="4" w:space="0"/>
              <w:right w:val="single" w:color="auto" w:sz="4" w:space="0"/>
            </w:tcBorders>
          </w:tcPr>
          <w:p w14:paraId="20E390F5">
            <w:pPr>
              <w:pStyle w:val="43"/>
            </w:pPr>
          </w:p>
        </w:tc>
      </w:tr>
      <w:tr w14:paraId="1F23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7A389578">
            <w:pPr>
              <w:pStyle w:val="43"/>
            </w:pPr>
          </w:p>
        </w:tc>
        <w:tc>
          <w:tcPr>
            <w:tcW w:w="1394" w:type="pct"/>
            <w:tcBorders>
              <w:top w:val="single" w:color="auto" w:sz="4" w:space="0"/>
              <w:left w:val="single" w:color="auto" w:sz="4" w:space="0"/>
              <w:bottom w:val="single" w:color="auto" w:sz="4" w:space="0"/>
              <w:right w:val="single" w:color="auto" w:sz="4" w:space="0"/>
            </w:tcBorders>
          </w:tcPr>
          <w:p w14:paraId="35B4BA6F">
            <w:pPr>
              <w:pStyle w:val="43"/>
            </w:pPr>
          </w:p>
        </w:tc>
        <w:tc>
          <w:tcPr>
            <w:tcW w:w="1002" w:type="pct"/>
            <w:tcBorders>
              <w:top w:val="single" w:color="auto" w:sz="4" w:space="0"/>
              <w:left w:val="single" w:color="auto" w:sz="4" w:space="0"/>
              <w:bottom w:val="single" w:color="auto" w:sz="4" w:space="0"/>
              <w:right w:val="single" w:color="auto" w:sz="4" w:space="0"/>
            </w:tcBorders>
          </w:tcPr>
          <w:p w14:paraId="236DCCD5">
            <w:pPr>
              <w:pStyle w:val="43"/>
            </w:pPr>
          </w:p>
        </w:tc>
        <w:tc>
          <w:tcPr>
            <w:tcW w:w="1090" w:type="pct"/>
            <w:tcBorders>
              <w:top w:val="single" w:color="auto" w:sz="4" w:space="0"/>
              <w:left w:val="single" w:color="auto" w:sz="4" w:space="0"/>
              <w:bottom w:val="single" w:color="auto" w:sz="4" w:space="0"/>
              <w:right w:val="single" w:color="auto" w:sz="4" w:space="0"/>
            </w:tcBorders>
          </w:tcPr>
          <w:p w14:paraId="5767520E">
            <w:pPr>
              <w:pStyle w:val="43"/>
            </w:pPr>
          </w:p>
        </w:tc>
        <w:tc>
          <w:tcPr>
            <w:tcW w:w="1090" w:type="pct"/>
            <w:tcBorders>
              <w:top w:val="single" w:color="auto" w:sz="4" w:space="0"/>
              <w:left w:val="single" w:color="auto" w:sz="4" w:space="0"/>
              <w:bottom w:val="single" w:color="auto" w:sz="4" w:space="0"/>
              <w:right w:val="single" w:color="auto" w:sz="4" w:space="0"/>
            </w:tcBorders>
          </w:tcPr>
          <w:p w14:paraId="44573F67">
            <w:pPr>
              <w:pStyle w:val="43"/>
            </w:pPr>
          </w:p>
        </w:tc>
      </w:tr>
      <w:tr w14:paraId="5971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9040A55">
            <w:pPr>
              <w:pStyle w:val="43"/>
            </w:pPr>
          </w:p>
        </w:tc>
        <w:tc>
          <w:tcPr>
            <w:tcW w:w="1394" w:type="pct"/>
            <w:tcBorders>
              <w:top w:val="single" w:color="auto" w:sz="4" w:space="0"/>
              <w:left w:val="single" w:color="auto" w:sz="4" w:space="0"/>
              <w:bottom w:val="single" w:color="auto" w:sz="4" w:space="0"/>
              <w:right w:val="single" w:color="auto" w:sz="4" w:space="0"/>
            </w:tcBorders>
          </w:tcPr>
          <w:p w14:paraId="4F147250">
            <w:pPr>
              <w:pStyle w:val="43"/>
            </w:pPr>
          </w:p>
        </w:tc>
        <w:tc>
          <w:tcPr>
            <w:tcW w:w="1002" w:type="pct"/>
            <w:tcBorders>
              <w:top w:val="single" w:color="auto" w:sz="4" w:space="0"/>
              <w:left w:val="single" w:color="auto" w:sz="4" w:space="0"/>
              <w:bottom w:val="single" w:color="auto" w:sz="4" w:space="0"/>
              <w:right w:val="single" w:color="auto" w:sz="4" w:space="0"/>
            </w:tcBorders>
          </w:tcPr>
          <w:p w14:paraId="46808039">
            <w:pPr>
              <w:pStyle w:val="43"/>
            </w:pPr>
          </w:p>
        </w:tc>
        <w:tc>
          <w:tcPr>
            <w:tcW w:w="1090" w:type="pct"/>
            <w:tcBorders>
              <w:top w:val="single" w:color="auto" w:sz="4" w:space="0"/>
              <w:left w:val="single" w:color="auto" w:sz="4" w:space="0"/>
              <w:bottom w:val="single" w:color="auto" w:sz="4" w:space="0"/>
              <w:right w:val="single" w:color="auto" w:sz="4" w:space="0"/>
            </w:tcBorders>
          </w:tcPr>
          <w:p w14:paraId="1521800F">
            <w:pPr>
              <w:pStyle w:val="43"/>
            </w:pPr>
          </w:p>
        </w:tc>
        <w:tc>
          <w:tcPr>
            <w:tcW w:w="1090" w:type="pct"/>
            <w:tcBorders>
              <w:top w:val="single" w:color="auto" w:sz="4" w:space="0"/>
              <w:left w:val="single" w:color="auto" w:sz="4" w:space="0"/>
              <w:bottom w:val="single" w:color="auto" w:sz="4" w:space="0"/>
              <w:right w:val="single" w:color="auto" w:sz="4" w:space="0"/>
            </w:tcBorders>
          </w:tcPr>
          <w:p w14:paraId="73914543">
            <w:pPr>
              <w:pStyle w:val="43"/>
            </w:pPr>
          </w:p>
        </w:tc>
      </w:tr>
      <w:tr w14:paraId="458F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F2E47B9">
            <w:pPr>
              <w:pStyle w:val="43"/>
            </w:pPr>
          </w:p>
        </w:tc>
        <w:tc>
          <w:tcPr>
            <w:tcW w:w="1394" w:type="pct"/>
            <w:tcBorders>
              <w:top w:val="single" w:color="auto" w:sz="4" w:space="0"/>
              <w:left w:val="single" w:color="auto" w:sz="4" w:space="0"/>
              <w:bottom w:val="single" w:color="auto" w:sz="4" w:space="0"/>
              <w:right w:val="single" w:color="auto" w:sz="4" w:space="0"/>
            </w:tcBorders>
          </w:tcPr>
          <w:p w14:paraId="48A41E50">
            <w:pPr>
              <w:pStyle w:val="43"/>
            </w:pPr>
          </w:p>
        </w:tc>
        <w:tc>
          <w:tcPr>
            <w:tcW w:w="1002" w:type="pct"/>
            <w:tcBorders>
              <w:top w:val="single" w:color="auto" w:sz="4" w:space="0"/>
              <w:left w:val="single" w:color="auto" w:sz="4" w:space="0"/>
              <w:bottom w:val="single" w:color="auto" w:sz="4" w:space="0"/>
              <w:right w:val="single" w:color="auto" w:sz="4" w:space="0"/>
            </w:tcBorders>
          </w:tcPr>
          <w:p w14:paraId="4A39FAE3">
            <w:pPr>
              <w:pStyle w:val="43"/>
            </w:pPr>
          </w:p>
        </w:tc>
        <w:tc>
          <w:tcPr>
            <w:tcW w:w="1090" w:type="pct"/>
            <w:tcBorders>
              <w:top w:val="single" w:color="auto" w:sz="4" w:space="0"/>
              <w:left w:val="single" w:color="auto" w:sz="4" w:space="0"/>
              <w:bottom w:val="single" w:color="auto" w:sz="4" w:space="0"/>
              <w:right w:val="single" w:color="auto" w:sz="4" w:space="0"/>
            </w:tcBorders>
          </w:tcPr>
          <w:p w14:paraId="5E358A4E">
            <w:pPr>
              <w:pStyle w:val="43"/>
            </w:pPr>
          </w:p>
        </w:tc>
        <w:tc>
          <w:tcPr>
            <w:tcW w:w="1090" w:type="pct"/>
            <w:tcBorders>
              <w:top w:val="single" w:color="auto" w:sz="4" w:space="0"/>
              <w:left w:val="single" w:color="auto" w:sz="4" w:space="0"/>
              <w:bottom w:val="single" w:color="auto" w:sz="4" w:space="0"/>
              <w:right w:val="single" w:color="auto" w:sz="4" w:space="0"/>
            </w:tcBorders>
          </w:tcPr>
          <w:p w14:paraId="2FF3AFE1">
            <w:pPr>
              <w:pStyle w:val="43"/>
            </w:pPr>
          </w:p>
        </w:tc>
      </w:tr>
      <w:tr w14:paraId="42DD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E3F336D">
            <w:pPr>
              <w:pStyle w:val="43"/>
            </w:pPr>
          </w:p>
        </w:tc>
        <w:tc>
          <w:tcPr>
            <w:tcW w:w="1394" w:type="pct"/>
            <w:tcBorders>
              <w:top w:val="single" w:color="auto" w:sz="4" w:space="0"/>
              <w:left w:val="single" w:color="auto" w:sz="4" w:space="0"/>
              <w:bottom w:val="single" w:color="auto" w:sz="4" w:space="0"/>
              <w:right w:val="single" w:color="auto" w:sz="4" w:space="0"/>
            </w:tcBorders>
          </w:tcPr>
          <w:p w14:paraId="7E60B040">
            <w:pPr>
              <w:pStyle w:val="43"/>
            </w:pPr>
          </w:p>
        </w:tc>
        <w:tc>
          <w:tcPr>
            <w:tcW w:w="1002" w:type="pct"/>
            <w:tcBorders>
              <w:top w:val="single" w:color="auto" w:sz="4" w:space="0"/>
              <w:left w:val="single" w:color="auto" w:sz="4" w:space="0"/>
              <w:bottom w:val="single" w:color="auto" w:sz="4" w:space="0"/>
              <w:right w:val="single" w:color="auto" w:sz="4" w:space="0"/>
            </w:tcBorders>
          </w:tcPr>
          <w:p w14:paraId="0412DAF2">
            <w:pPr>
              <w:pStyle w:val="43"/>
            </w:pPr>
          </w:p>
        </w:tc>
        <w:tc>
          <w:tcPr>
            <w:tcW w:w="1090" w:type="pct"/>
            <w:tcBorders>
              <w:top w:val="single" w:color="auto" w:sz="4" w:space="0"/>
              <w:left w:val="single" w:color="auto" w:sz="4" w:space="0"/>
              <w:bottom w:val="single" w:color="auto" w:sz="4" w:space="0"/>
              <w:right w:val="single" w:color="auto" w:sz="4" w:space="0"/>
            </w:tcBorders>
          </w:tcPr>
          <w:p w14:paraId="5740719B">
            <w:pPr>
              <w:pStyle w:val="43"/>
            </w:pPr>
          </w:p>
        </w:tc>
        <w:tc>
          <w:tcPr>
            <w:tcW w:w="1090" w:type="pct"/>
            <w:tcBorders>
              <w:top w:val="single" w:color="auto" w:sz="4" w:space="0"/>
              <w:left w:val="single" w:color="auto" w:sz="4" w:space="0"/>
              <w:bottom w:val="single" w:color="auto" w:sz="4" w:space="0"/>
              <w:right w:val="single" w:color="auto" w:sz="4" w:space="0"/>
            </w:tcBorders>
          </w:tcPr>
          <w:p w14:paraId="58822E60">
            <w:pPr>
              <w:pStyle w:val="43"/>
            </w:pPr>
          </w:p>
        </w:tc>
      </w:tr>
      <w:tr w14:paraId="6259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AA9FDDC">
            <w:pPr>
              <w:pStyle w:val="43"/>
            </w:pPr>
          </w:p>
        </w:tc>
        <w:tc>
          <w:tcPr>
            <w:tcW w:w="1394" w:type="pct"/>
            <w:tcBorders>
              <w:top w:val="single" w:color="auto" w:sz="4" w:space="0"/>
              <w:left w:val="single" w:color="auto" w:sz="4" w:space="0"/>
              <w:bottom w:val="single" w:color="auto" w:sz="4" w:space="0"/>
              <w:right w:val="single" w:color="auto" w:sz="4" w:space="0"/>
            </w:tcBorders>
          </w:tcPr>
          <w:p w14:paraId="475A911D">
            <w:pPr>
              <w:pStyle w:val="43"/>
            </w:pPr>
          </w:p>
        </w:tc>
        <w:tc>
          <w:tcPr>
            <w:tcW w:w="1002" w:type="pct"/>
            <w:tcBorders>
              <w:top w:val="single" w:color="auto" w:sz="4" w:space="0"/>
              <w:left w:val="single" w:color="auto" w:sz="4" w:space="0"/>
              <w:bottom w:val="single" w:color="auto" w:sz="4" w:space="0"/>
              <w:right w:val="single" w:color="auto" w:sz="4" w:space="0"/>
            </w:tcBorders>
          </w:tcPr>
          <w:p w14:paraId="26627623">
            <w:pPr>
              <w:pStyle w:val="43"/>
            </w:pPr>
          </w:p>
        </w:tc>
        <w:tc>
          <w:tcPr>
            <w:tcW w:w="1090" w:type="pct"/>
            <w:tcBorders>
              <w:top w:val="single" w:color="auto" w:sz="4" w:space="0"/>
              <w:left w:val="single" w:color="auto" w:sz="4" w:space="0"/>
              <w:bottom w:val="single" w:color="auto" w:sz="4" w:space="0"/>
              <w:right w:val="single" w:color="auto" w:sz="4" w:space="0"/>
            </w:tcBorders>
          </w:tcPr>
          <w:p w14:paraId="0D838479">
            <w:pPr>
              <w:pStyle w:val="43"/>
            </w:pPr>
          </w:p>
        </w:tc>
        <w:tc>
          <w:tcPr>
            <w:tcW w:w="1090" w:type="pct"/>
            <w:tcBorders>
              <w:top w:val="single" w:color="auto" w:sz="4" w:space="0"/>
              <w:left w:val="single" w:color="auto" w:sz="4" w:space="0"/>
              <w:bottom w:val="single" w:color="auto" w:sz="4" w:space="0"/>
              <w:right w:val="single" w:color="auto" w:sz="4" w:space="0"/>
            </w:tcBorders>
          </w:tcPr>
          <w:p w14:paraId="6058FF2D">
            <w:pPr>
              <w:pStyle w:val="43"/>
            </w:pPr>
          </w:p>
        </w:tc>
      </w:tr>
      <w:tr w14:paraId="3175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CB4B9D5">
            <w:pPr>
              <w:pStyle w:val="43"/>
            </w:pPr>
          </w:p>
        </w:tc>
        <w:tc>
          <w:tcPr>
            <w:tcW w:w="1394" w:type="pct"/>
            <w:tcBorders>
              <w:top w:val="single" w:color="auto" w:sz="4" w:space="0"/>
              <w:left w:val="single" w:color="auto" w:sz="4" w:space="0"/>
              <w:bottom w:val="single" w:color="auto" w:sz="4" w:space="0"/>
              <w:right w:val="single" w:color="auto" w:sz="4" w:space="0"/>
            </w:tcBorders>
          </w:tcPr>
          <w:p w14:paraId="5A5A8900">
            <w:pPr>
              <w:pStyle w:val="43"/>
            </w:pPr>
          </w:p>
        </w:tc>
        <w:tc>
          <w:tcPr>
            <w:tcW w:w="1002" w:type="pct"/>
            <w:tcBorders>
              <w:top w:val="single" w:color="auto" w:sz="4" w:space="0"/>
              <w:left w:val="single" w:color="auto" w:sz="4" w:space="0"/>
              <w:bottom w:val="single" w:color="auto" w:sz="4" w:space="0"/>
              <w:right w:val="single" w:color="auto" w:sz="4" w:space="0"/>
            </w:tcBorders>
          </w:tcPr>
          <w:p w14:paraId="63D6EC1F">
            <w:pPr>
              <w:pStyle w:val="43"/>
            </w:pPr>
          </w:p>
        </w:tc>
        <w:tc>
          <w:tcPr>
            <w:tcW w:w="1090" w:type="pct"/>
            <w:tcBorders>
              <w:top w:val="single" w:color="auto" w:sz="4" w:space="0"/>
              <w:left w:val="single" w:color="auto" w:sz="4" w:space="0"/>
              <w:bottom w:val="single" w:color="auto" w:sz="4" w:space="0"/>
              <w:right w:val="single" w:color="auto" w:sz="4" w:space="0"/>
            </w:tcBorders>
          </w:tcPr>
          <w:p w14:paraId="39E73342">
            <w:pPr>
              <w:pStyle w:val="43"/>
            </w:pPr>
          </w:p>
        </w:tc>
        <w:tc>
          <w:tcPr>
            <w:tcW w:w="1090" w:type="pct"/>
            <w:tcBorders>
              <w:top w:val="single" w:color="auto" w:sz="4" w:space="0"/>
              <w:left w:val="single" w:color="auto" w:sz="4" w:space="0"/>
              <w:bottom w:val="single" w:color="auto" w:sz="4" w:space="0"/>
              <w:right w:val="single" w:color="auto" w:sz="4" w:space="0"/>
            </w:tcBorders>
          </w:tcPr>
          <w:p w14:paraId="078AC2DD">
            <w:pPr>
              <w:pStyle w:val="43"/>
            </w:pPr>
          </w:p>
        </w:tc>
      </w:tr>
      <w:tr w14:paraId="0DE8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AA9B54B">
            <w:pPr>
              <w:pStyle w:val="43"/>
            </w:pPr>
          </w:p>
        </w:tc>
        <w:tc>
          <w:tcPr>
            <w:tcW w:w="1394" w:type="pct"/>
            <w:tcBorders>
              <w:top w:val="single" w:color="auto" w:sz="4" w:space="0"/>
              <w:left w:val="single" w:color="auto" w:sz="4" w:space="0"/>
              <w:bottom w:val="single" w:color="auto" w:sz="4" w:space="0"/>
              <w:right w:val="single" w:color="auto" w:sz="4" w:space="0"/>
            </w:tcBorders>
          </w:tcPr>
          <w:p w14:paraId="34E7973B">
            <w:pPr>
              <w:pStyle w:val="43"/>
            </w:pPr>
          </w:p>
        </w:tc>
        <w:tc>
          <w:tcPr>
            <w:tcW w:w="1002" w:type="pct"/>
            <w:tcBorders>
              <w:top w:val="single" w:color="auto" w:sz="4" w:space="0"/>
              <w:left w:val="single" w:color="auto" w:sz="4" w:space="0"/>
              <w:bottom w:val="single" w:color="auto" w:sz="4" w:space="0"/>
              <w:right w:val="single" w:color="auto" w:sz="4" w:space="0"/>
            </w:tcBorders>
          </w:tcPr>
          <w:p w14:paraId="409D2625">
            <w:pPr>
              <w:pStyle w:val="43"/>
            </w:pPr>
          </w:p>
        </w:tc>
        <w:tc>
          <w:tcPr>
            <w:tcW w:w="1090" w:type="pct"/>
            <w:tcBorders>
              <w:top w:val="single" w:color="auto" w:sz="4" w:space="0"/>
              <w:left w:val="single" w:color="auto" w:sz="4" w:space="0"/>
              <w:bottom w:val="single" w:color="auto" w:sz="4" w:space="0"/>
              <w:right w:val="single" w:color="auto" w:sz="4" w:space="0"/>
            </w:tcBorders>
          </w:tcPr>
          <w:p w14:paraId="5B9EEB4F">
            <w:pPr>
              <w:pStyle w:val="43"/>
            </w:pPr>
          </w:p>
        </w:tc>
        <w:tc>
          <w:tcPr>
            <w:tcW w:w="1090" w:type="pct"/>
            <w:tcBorders>
              <w:top w:val="single" w:color="auto" w:sz="4" w:space="0"/>
              <w:left w:val="single" w:color="auto" w:sz="4" w:space="0"/>
              <w:bottom w:val="single" w:color="auto" w:sz="4" w:space="0"/>
              <w:right w:val="single" w:color="auto" w:sz="4" w:space="0"/>
            </w:tcBorders>
          </w:tcPr>
          <w:p w14:paraId="46116A95">
            <w:pPr>
              <w:pStyle w:val="43"/>
            </w:pPr>
          </w:p>
        </w:tc>
      </w:tr>
      <w:tr w14:paraId="7B02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024236C">
            <w:pPr>
              <w:pStyle w:val="43"/>
            </w:pPr>
          </w:p>
        </w:tc>
        <w:tc>
          <w:tcPr>
            <w:tcW w:w="1394" w:type="pct"/>
            <w:tcBorders>
              <w:top w:val="single" w:color="auto" w:sz="4" w:space="0"/>
              <w:left w:val="single" w:color="auto" w:sz="4" w:space="0"/>
              <w:bottom w:val="single" w:color="auto" w:sz="4" w:space="0"/>
              <w:right w:val="single" w:color="auto" w:sz="4" w:space="0"/>
            </w:tcBorders>
          </w:tcPr>
          <w:p w14:paraId="4BBC9671">
            <w:pPr>
              <w:pStyle w:val="43"/>
            </w:pPr>
          </w:p>
        </w:tc>
        <w:tc>
          <w:tcPr>
            <w:tcW w:w="1002" w:type="pct"/>
            <w:tcBorders>
              <w:top w:val="single" w:color="auto" w:sz="4" w:space="0"/>
              <w:left w:val="single" w:color="auto" w:sz="4" w:space="0"/>
              <w:bottom w:val="single" w:color="auto" w:sz="4" w:space="0"/>
              <w:right w:val="single" w:color="auto" w:sz="4" w:space="0"/>
            </w:tcBorders>
          </w:tcPr>
          <w:p w14:paraId="1F25D14A">
            <w:pPr>
              <w:pStyle w:val="43"/>
            </w:pPr>
          </w:p>
        </w:tc>
        <w:tc>
          <w:tcPr>
            <w:tcW w:w="1090" w:type="pct"/>
            <w:tcBorders>
              <w:top w:val="single" w:color="auto" w:sz="4" w:space="0"/>
              <w:left w:val="single" w:color="auto" w:sz="4" w:space="0"/>
              <w:bottom w:val="single" w:color="auto" w:sz="4" w:space="0"/>
              <w:right w:val="single" w:color="auto" w:sz="4" w:space="0"/>
            </w:tcBorders>
          </w:tcPr>
          <w:p w14:paraId="02A87F87">
            <w:pPr>
              <w:pStyle w:val="43"/>
            </w:pPr>
          </w:p>
        </w:tc>
        <w:tc>
          <w:tcPr>
            <w:tcW w:w="1090" w:type="pct"/>
            <w:tcBorders>
              <w:top w:val="single" w:color="auto" w:sz="4" w:space="0"/>
              <w:left w:val="single" w:color="auto" w:sz="4" w:space="0"/>
              <w:bottom w:val="single" w:color="auto" w:sz="4" w:space="0"/>
              <w:right w:val="single" w:color="auto" w:sz="4" w:space="0"/>
            </w:tcBorders>
          </w:tcPr>
          <w:p w14:paraId="5DBCE061">
            <w:pPr>
              <w:pStyle w:val="43"/>
            </w:pPr>
          </w:p>
        </w:tc>
      </w:tr>
      <w:tr w14:paraId="2177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99FD606">
            <w:pPr>
              <w:pStyle w:val="43"/>
            </w:pPr>
            <w:r>
              <w:rPr>
                <w:rFonts w:hint="eastAsia"/>
              </w:rPr>
              <w:t>……</w:t>
            </w:r>
          </w:p>
        </w:tc>
        <w:tc>
          <w:tcPr>
            <w:tcW w:w="1394" w:type="pct"/>
            <w:tcBorders>
              <w:top w:val="single" w:color="auto" w:sz="4" w:space="0"/>
              <w:left w:val="single" w:color="auto" w:sz="4" w:space="0"/>
              <w:bottom w:val="single" w:color="auto" w:sz="4" w:space="0"/>
              <w:right w:val="single" w:color="auto" w:sz="4" w:space="0"/>
            </w:tcBorders>
          </w:tcPr>
          <w:p w14:paraId="49FE935F">
            <w:pPr>
              <w:pStyle w:val="43"/>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70B845A5">
            <w:pPr>
              <w:pStyle w:val="43"/>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0F13F801">
            <w:pPr>
              <w:pStyle w:val="43"/>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2A2E7EE9">
            <w:pPr>
              <w:pStyle w:val="43"/>
            </w:pPr>
          </w:p>
        </w:tc>
      </w:tr>
      <w:bookmarkEnd w:id="625"/>
    </w:tbl>
    <w:p w14:paraId="35F1D5FF">
      <w:pPr>
        <w:ind w:firstLine="480" w:firstLineChars="200"/>
        <w:rPr>
          <w:rFonts w:cs="仿宋_GB2312"/>
        </w:rPr>
      </w:pPr>
    </w:p>
    <w:p w14:paraId="764BCC45">
      <w:pPr>
        <w:ind w:firstLine="480" w:firstLineChars="200"/>
        <w:rPr>
          <w:rFonts w:cs="仿宋_GB2312"/>
        </w:rPr>
      </w:pPr>
      <w:r>
        <w:rPr>
          <w:rFonts w:hint="eastAsia" w:cs="仿宋_GB2312"/>
        </w:rPr>
        <w:t>注：</w:t>
      </w:r>
    </w:p>
    <w:p w14:paraId="586DD32B">
      <w:pPr>
        <w:ind w:firstLine="480" w:firstLineChars="200"/>
        <w:rPr>
          <w:rFonts w:cs="仿宋_GB2312"/>
          <w:szCs w:val="24"/>
        </w:rPr>
      </w:pPr>
      <w:bookmarkStart w:id="626" w:name="_Hlk161702917"/>
      <w:r>
        <w:rPr>
          <w:rFonts w:hint="eastAsia" w:cs="仿宋_GB2312"/>
          <w:szCs w:val="24"/>
        </w:rPr>
        <w:t>供应商应按照竞争性磋商文件第三章 采购需求“五、商务要求”填写</w:t>
      </w:r>
    </w:p>
    <w:bookmarkEnd w:id="626"/>
    <w:p w14:paraId="3822F1C7">
      <w:pPr>
        <w:ind w:firstLine="480" w:firstLineChars="200"/>
        <w:rPr>
          <w:rFonts w:cs="仿宋_GB2312"/>
          <w:szCs w:val="24"/>
        </w:rPr>
      </w:pPr>
    </w:p>
    <w:p w14:paraId="7340CC07">
      <w:pPr>
        <w:ind w:firstLine="480" w:firstLineChars="200"/>
        <w:rPr>
          <w:rFonts w:cs="仿宋_GB2312"/>
        </w:rPr>
      </w:pPr>
    </w:p>
    <w:p w14:paraId="16863441">
      <w:pPr>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04454B2C">
      <w:r>
        <w:rPr>
          <w:rFonts w:hint="eastAsia" w:cs="仿宋_GB2312"/>
        </w:rPr>
        <w:t>日      期：   年    月    日</w:t>
      </w:r>
    </w:p>
    <w:p w14:paraId="5DBD95CC">
      <w:pPr>
        <w:widowControl/>
        <w:spacing w:line="240" w:lineRule="auto"/>
      </w:pPr>
      <w:r>
        <w:br w:type="page"/>
      </w:r>
    </w:p>
    <w:p w14:paraId="4F3C0B06">
      <w:pPr>
        <w:pStyle w:val="4"/>
        <w:numPr>
          <w:ilvl w:val="0"/>
          <w:numId w:val="30"/>
        </w:numPr>
        <w:tabs>
          <w:tab w:val="left" w:pos="1605"/>
        </w:tabs>
      </w:pPr>
      <w:bookmarkStart w:id="627" w:name="_Toc27134"/>
      <w:bookmarkStart w:id="628" w:name="_Toc22879"/>
      <w:bookmarkStart w:id="629" w:name="_Toc163493659"/>
      <w:bookmarkStart w:id="630" w:name="_Toc156490367"/>
      <w:r>
        <w:rPr>
          <w:rFonts w:hint="eastAsia"/>
        </w:rPr>
        <w:t>其它商务文件</w:t>
      </w:r>
      <w:bookmarkEnd w:id="627"/>
      <w:bookmarkEnd w:id="628"/>
      <w:bookmarkEnd w:id="629"/>
      <w:bookmarkEnd w:id="630"/>
    </w:p>
    <w:p w14:paraId="2B844482">
      <w:r>
        <w:rPr>
          <w:rFonts w:hint="eastAsia"/>
        </w:rPr>
        <w:t>1. 磋商文件要求提供的其它商务资料和证明材料；</w:t>
      </w:r>
    </w:p>
    <w:p w14:paraId="494E5962">
      <w:r>
        <w:rPr>
          <w:rFonts w:hint="eastAsia"/>
        </w:rPr>
        <w:t>2. 供应商认为需要提供的其它商务资料和说明。</w:t>
      </w:r>
    </w:p>
    <w:p w14:paraId="7AC34185">
      <w:r>
        <w:br w:type="page"/>
      </w:r>
    </w:p>
    <w:bookmarkEnd w:id="600"/>
    <w:p w14:paraId="3523BAC7">
      <w:pPr>
        <w:pStyle w:val="3"/>
        <w:numPr>
          <w:ilvl w:val="0"/>
          <w:numId w:val="25"/>
        </w:numPr>
      </w:pPr>
      <w:bookmarkStart w:id="631" w:name="_Toc163493660"/>
      <w:bookmarkStart w:id="632" w:name="_Toc30894"/>
      <w:bookmarkStart w:id="633" w:name="_Toc10481"/>
      <w:bookmarkStart w:id="634" w:name="_Toc11266"/>
      <w:bookmarkStart w:id="635" w:name="_Hlk158370535"/>
      <w:r>
        <w:rPr>
          <w:rFonts w:hint="eastAsia"/>
        </w:rPr>
        <w:t>技术部分</w:t>
      </w:r>
      <w:bookmarkEnd w:id="631"/>
      <w:bookmarkEnd w:id="632"/>
      <w:bookmarkEnd w:id="633"/>
      <w:bookmarkEnd w:id="634"/>
    </w:p>
    <w:p w14:paraId="72F80D3B">
      <w:pPr>
        <w:pStyle w:val="4"/>
        <w:numPr>
          <w:ilvl w:val="0"/>
          <w:numId w:val="32"/>
        </w:numPr>
        <w:tabs>
          <w:tab w:val="left" w:pos="1605"/>
        </w:tabs>
      </w:pPr>
      <w:bookmarkStart w:id="636" w:name="_Toc156490369"/>
      <w:bookmarkStart w:id="637" w:name="_Toc163493661"/>
      <w:bookmarkStart w:id="638" w:name="_Toc8912"/>
      <w:bookmarkStart w:id="639" w:name="_Toc26919"/>
      <w:r>
        <w:rPr>
          <w:rFonts w:hint="eastAsia"/>
        </w:rPr>
        <w:t>技术响应偏离表</w:t>
      </w:r>
      <w:bookmarkEnd w:id="636"/>
      <w:bookmarkEnd w:id="637"/>
      <w:bookmarkEnd w:id="638"/>
      <w:bookmarkEnd w:id="639"/>
      <w:r>
        <w:rPr>
          <w:rFonts w:hint="eastAsia"/>
          <w:lang w:eastAsia="zh-CN"/>
        </w:rPr>
        <w:t>（</w:t>
      </w:r>
      <w:r>
        <w:rPr>
          <w:rFonts w:hint="eastAsia"/>
          <w:lang w:val="en-US" w:eastAsia="zh-CN"/>
        </w:rPr>
        <w:t>如有</w:t>
      </w:r>
      <w:r>
        <w:rPr>
          <w:rFonts w:hint="eastAsia"/>
          <w:lang w:eastAsia="zh-CN"/>
        </w:rPr>
        <w:t>）</w:t>
      </w:r>
    </w:p>
    <w:p w14:paraId="6C8C9339">
      <w:pPr>
        <w:rPr>
          <w:rFonts w:cs="仿宋_GB2312"/>
        </w:rPr>
      </w:pPr>
      <w:r>
        <w:rPr>
          <w:rFonts w:hint="eastAsia" w:cs="仿宋_GB2312"/>
        </w:rPr>
        <w:t xml:space="preserve">项目名称：                                         </w:t>
      </w:r>
    </w:p>
    <w:p w14:paraId="2F30AD75">
      <w:pPr>
        <w:rPr>
          <w:rFonts w:cs="仿宋_GB2312"/>
        </w:rPr>
      </w:pPr>
      <w:r>
        <w:rPr>
          <w:rFonts w:hint="eastAsia" w:cs="仿宋_GB2312"/>
        </w:rPr>
        <w:t xml:space="preserve">项目编号：         </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85"/>
        <w:gridCol w:w="1766"/>
        <w:gridCol w:w="2054"/>
        <w:gridCol w:w="2054"/>
      </w:tblGrid>
      <w:tr w14:paraId="5261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14:paraId="2A8BBF97">
            <w:pPr>
              <w:pStyle w:val="43"/>
              <w:rPr>
                <w:sz w:val="24"/>
              </w:rPr>
            </w:pPr>
            <w:bookmarkStart w:id="640" w:name="_Hlk161702940"/>
            <w:r>
              <w:rPr>
                <w:rFonts w:hint="eastAsia"/>
              </w:rPr>
              <w:t>序号</w:t>
            </w:r>
          </w:p>
        </w:tc>
        <w:tc>
          <w:tcPr>
            <w:tcW w:w="1165" w:type="pct"/>
            <w:tcBorders>
              <w:top w:val="single" w:color="auto" w:sz="4" w:space="0"/>
              <w:left w:val="single" w:color="auto" w:sz="4" w:space="0"/>
              <w:bottom w:val="single" w:color="auto" w:sz="4" w:space="0"/>
              <w:right w:val="single" w:color="auto" w:sz="4" w:space="0"/>
            </w:tcBorders>
            <w:vAlign w:val="center"/>
          </w:tcPr>
          <w:p w14:paraId="47573D00">
            <w:pPr>
              <w:pStyle w:val="43"/>
            </w:pPr>
            <w:r>
              <w:rPr>
                <w:rFonts w:hint="eastAsia"/>
              </w:rPr>
              <w:t>竞争性磋商文件技术、服务要求条款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14:paraId="5A070EC4">
            <w:pPr>
              <w:pStyle w:val="43"/>
            </w:pPr>
            <w:r>
              <w:rPr>
                <w:rFonts w:hint="eastAsia"/>
              </w:rPr>
              <w:t>响应文件内容</w:t>
            </w:r>
          </w:p>
          <w:p w14:paraId="28D31531">
            <w:pPr>
              <w:pStyle w:val="43"/>
            </w:pPr>
            <w:r>
              <w:rPr>
                <w:rFonts w:hint="eastAsia"/>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14:paraId="64E7E56B">
            <w:pPr>
              <w:pStyle w:val="43"/>
            </w:pPr>
            <w:r>
              <w:rPr>
                <w:rFonts w:hint="eastAsia"/>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14:paraId="1BDF493A">
            <w:pPr>
              <w:pStyle w:val="43"/>
            </w:pPr>
            <w:r>
              <w:rPr>
                <w:rFonts w:hint="eastAsia"/>
              </w:rPr>
              <w:t>说明及索引</w:t>
            </w:r>
          </w:p>
        </w:tc>
      </w:tr>
      <w:tr w14:paraId="02D9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0637FF94">
            <w:pPr>
              <w:pStyle w:val="43"/>
            </w:pPr>
            <w:r>
              <w:rPr>
                <w:rFonts w:hint="eastAsia"/>
              </w:rPr>
              <w:t>1</w:t>
            </w:r>
          </w:p>
        </w:tc>
        <w:tc>
          <w:tcPr>
            <w:tcW w:w="1165" w:type="pct"/>
            <w:tcBorders>
              <w:top w:val="single" w:color="auto" w:sz="4" w:space="0"/>
              <w:left w:val="single" w:color="auto" w:sz="4" w:space="0"/>
              <w:bottom w:val="single" w:color="auto" w:sz="4" w:space="0"/>
              <w:right w:val="single" w:color="auto" w:sz="4" w:space="0"/>
            </w:tcBorders>
            <w:vAlign w:val="center"/>
          </w:tcPr>
          <w:p w14:paraId="3C48C077">
            <w:pPr>
              <w:pStyle w:val="43"/>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11B4C0FC">
            <w:pPr>
              <w:pStyle w:val="43"/>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090B6A92">
            <w:pPr>
              <w:pStyle w:val="43"/>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40FA8A85">
            <w:pPr>
              <w:pStyle w:val="43"/>
            </w:pPr>
          </w:p>
        </w:tc>
      </w:tr>
      <w:tr w14:paraId="10A0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24FAF924">
            <w:pPr>
              <w:pStyle w:val="43"/>
            </w:pPr>
            <w:r>
              <w:rPr>
                <w:rFonts w:hint="eastAsia"/>
              </w:rPr>
              <w:t>2</w:t>
            </w:r>
          </w:p>
        </w:tc>
        <w:tc>
          <w:tcPr>
            <w:tcW w:w="1165" w:type="pct"/>
            <w:tcBorders>
              <w:top w:val="single" w:color="auto" w:sz="4" w:space="0"/>
              <w:left w:val="single" w:color="auto" w:sz="4" w:space="0"/>
              <w:bottom w:val="single" w:color="auto" w:sz="4" w:space="0"/>
              <w:right w:val="single" w:color="auto" w:sz="4" w:space="0"/>
            </w:tcBorders>
            <w:vAlign w:val="center"/>
          </w:tcPr>
          <w:p w14:paraId="765E6A9E">
            <w:pPr>
              <w:pStyle w:val="43"/>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496BE000">
            <w:pPr>
              <w:pStyle w:val="43"/>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20BBEEAC">
            <w:pPr>
              <w:pStyle w:val="43"/>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3795CFCD">
            <w:pPr>
              <w:pStyle w:val="43"/>
            </w:pPr>
          </w:p>
        </w:tc>
      </w:tr>
      <w:tr w14:paraId="4428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35D7A3F">
            <w:pPr>
              <w:pStyle w:val="43"/>
            </w:pPr>
          </w:p>
        </w:tc>
        <w:tc>
          <w:tcPr>
            <w:tcW w:w="1165" w:type="pct"/>
            <w:tcBorders>
              <w:top w:val="single" w:color="auto" w:sz="4" w:space="0"/>
              <w:left w:val="single" w:color="auto" w:sz="4" w:space="0"/>
              <w:bottom w:val="single" w:color="auto" w:sz="4" w:space="0"/>
              <w:right w:val="single" w:color="auto" w:sz="4" w:space="0"/>
            </w:tcBorders>
          </w:tcPr>
          <w:p w14:paraId="7F0D9F76">
            <w:pPr>
              <w:pStyle w:val="43"/>
            </w:pPr>
          </w:p>
        </w:tc>
        <w:tc>
          <w:tcPr>
            <w:tcW w:w="1036" w:type="pct"/>
            <w:tcBorders>
              <w:top w:val="single" w:color="auto" w:sz="4" w:space="0"/>
              <w:left w:val="single" w:color="auto" w:sz="4" w:space="0"/>
              <w:bottom w:val="single" w:color="auto" w:sz="4" w:space="0"/>
              <w:right w:val="single" w:color="auto" w:sz="4" w:space="0"/>
            </w:tcBorders>
          </w:tcPr>
          <w:p w14:paraId="61E3CE52">
            <w:pPr>
              <w:pStyle w:val="43"/>
            </w:pPr>
          </w:p>
        </w:tc>
        <w:tc>
          <w:tcPr>
            <w:tcW w:w="1205" w:type="pct"/>
            <w:tcBorders>
              <w:top w:val="single" w:color="auto" w:sz="4" w:space="0"/>
              <w:left w:val="single" w:color="auto" w:sz="4" w:space="0"/>
              <w:bottom w:val="single" w:color="auto" w:sz="4" w:space="0"/>
              <w:right w:val="single" w:color="auto" w:sz="4" w:space="0"/>
            </w:tcBorders>
          </w:tcPr>
          <w:p w14:paraId="6D7C76ED">
            <w:pPr>
              <w:pStyle w:val="43"/>
            </w:pPr>
          </w:p>
        </w:tc>
        <w:tc>
          <w:tcPr>
            <w:tcW w:w="1205" w:type="pct"/>
            <w:tcBorders>
              <w:top w:val="single" w:color="auto" w:sz="4" w:space="0"/>
              <w:left w:val="single" w:color="auto" w:sz="4" w:space="0"/>
              <w:bottom w:val="single" w:color="auto" w:sz="4" w:space="0"/>
              <w:right w:val="single" w:color="auto" w:sz="4" w:space="0"/>
            </w:tcBorders>
          </w:tcPr>
          <w:p w14:paraId="2838C552">
            <w:pPr>
              <w:pStyle w:val="43"/>
            </w:pPr>
          </w:p>
        </w:tc>
      </w:tr>
      <w:tr w14:paraId="53CB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EAAD895">
            <w:pPr>
              <w:pStyle w:val="43"/>
            </w:pPr>
          </w:p>
        </w:tc>
        <w:tc>
          <w:tcPr>
            <w:tcW w:w="1165" w:type="pct"/>
            <w:tcBorders>
              <w:top w:val="single" w:color="auto" w:sz="4" w:space="0"/>
              <w:left w:val="single" w:color="auto" w:sz="4" w:space="0"/>
              <w:bottom w:val="single" w:color="auto" w:sz="4" w:space="0"/>
              <w:right w:val="single" w:color="auto" w:sz="4" w:space="0"/>
            </w:tcBorders>
          </w:tcPr>
          <w:p w14:paraId="75CB073F">
            <w:pPr>
              <w:pStyle w:val="43"/>
            </w:pPr>
          </w:p>
        </w:tc>
        <w:tc>
          <w:tcPr>
            <w:tcW w:w="1036" w:type="pct"/>
            <w:tcBorders>
              <w:top w:val="single" w:color="auto" w:sz="4" w:space="0"/>
              <w:left w:val="single" w:color="auto" w:sz="4" w:space="0"/>
              <w:bottom w:val="single" w:color="auto" w:sz="4" w:space="0"/>
              <w:right w:val="single" w:color="auto" w:sz="4" w:space="0"/>
            </w:tcBorders>
          </w:tcPr>
          <w:p w14:paraId="414C9C99">
            <w:pPr>
              <w:pStyle w:val="43"/>
            </w:pPr>
          </w:p>
        </w:tc>
        <w:tc>
          <w:tcPr>
            <w:tcW w:w="1205" w:type="pct"/>
            <w:tcBorders>
              <w:top w:val="single" w:color="auto" w:sz="4" w:space="0"/>
              <w:left w:val="single" w:color="auto" w:sz="4" w:space="0"/>
              <w:bottom w:val="single" w:color="auto" w:sz="4" w:space="0"/>
              <w:right w:val="single" w:color="auto" w:sz="4" w:space="0"/>
            </w:tcBorders>
          </w:tcPr>
          <w:p w14:paraId="1DEF1899">
            <w:pPr>
              <w:pStyle w:val="43"/>
            </w:pPr>
          </w:p>
        </w:tc>
        <w:tc>
          <w:tcPr>
            <w:tcW w:w="1205" w:type="pct"/>
            <w:tcBorders>
              <w:top w:val="single" w:color="auto" w:sz="4" w:space="0"/>
              <w:left w:val="single" w:color="auto" w:sz="4" w:space="0"/>
              <w:bottom w:val="single" w:color="auto" w:sz="4" w:space="0"/>
              <w:right w:val="single" w:color="auto" w:sz="4" w:space="0"/>
            </w:tcBorders>
          </w:tcPr>
          <w:p w14:paraId="54CA4192">
            <w:pPr>
              <w:pStyle w:val="43"/>
            </w:pPr>
          </w:p>
        </w:tc>
      </w:tr>
      <w:tr w14:paraId="4D4C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56699312">
            <w:pPr>
              <w:pStyle w:val="43"/>
            </w:pPr>
          </w:p>
        </w:tc>
        <w:tc>
          <w:tcPr>
            <w:tcW w:w="1165" w:type="pct"/>
            <w:tcBorders>
              <w:top w:val="single" w:color="auto" w:sz="4" w:space="0"/>
              <w:left w:val="single" w:color="auto" w:sz="4" w:space="0"/>
              <w:bottom w:val="single" w:color="auto" w:sz="4" w:space="0"/>
              <w:right w:val="single" w:color="auto" w:sz="4" w:space="0"/>
            </w:tcBorders>
          </w:tcPr>
          <w:p w14:paraId="6EC2A2CB">
            <w:pPr>
              <w:pStyle w:val="43"/>
            </w:pPr>
          </w:p>
        </w:tc>
        <w:tc>
          <w:tcPr>
            <w:tcW w:w="1036" w:type="pct"/>
            <w:tcBorders>
              <w:top w:val="single" w:color="auto" w:sz="4" w:space="0"/>
              <w:left w:val="single" w:color="auto" w:sz="4" w:space="0"/>
              <w:bottom w:val="single" w:color="auto" w:sz="4" w:space="0"/>
              <w:right w:val="single" w:color="auto" w:sz="4" w:space="0"/>
            </w:tcBorders>
          </w:tcPr>
          <w:p w14:paraId="667F96C9">
            <w:pPr>
              <w:pStyle w:val="43"/>
            </w:pPr>
          </w:p>
        </w:tc>
        <w:tc>
          <w:tcPr>
            <w:tcW w:w="1205" w:type="pct"/>
            <w:tcBorders>
              <w:top w:val="single" w:color="auto" w:sz="4" w:space="0"/>
              <w:left w:val="single" w:color="auto" w:sz="4" w:space="0"/>
              <w:bottom w:val="single" w:color="auto" w:sz="4" w:space="0"/>
              <w:right w:val="single" w:color="auto" w:sz="4" w:space="0"/>
            </w:tcBorders>
          </w:tcPr>
          <w:p w14:paraId="4CE3E67A">
            <w:pPr>
              <w:pStyle w:val="43"/>
            </w:pPr>
          </w:p>
        </w:tc>
        <w:tc>
          <w:tcPr>
            <w:tcW w:w="1205" w:type="pct"/>
            <w:tcBorders>
              <w:top w:val="single" w:color="auto" w:sz="4" w:space="0"/>
              <w:left w:val="single" w:color="auto" w:sz="4" w:space="0"/>
              <w:bottom w:val="single" w:color="auto" w:sz="4" w:space="0"/>
              <w:right w:val="single" w:color="auto" w:sz="4" w:space="0"/>
            </w:tcBorders>
          </w:tcPr>
          <w:p w14:paraId="15F25E05">
            <w:pPr>
              <w:pStyle w:val="43"/>
            </w:pPr>
          </w:p>
        </w:tc>
      </w:tr>
      <w:tr w14:paraId="6A35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91C641F">
            <w:pPr>
              <w:pStyle w:val="43"/>
            </w:pPr>
          </w:p>
        </w:tc>
        <w:tc>
          <w:tcPr>
            <w:tcW w:w="1165" w:type="pct"/>
            <w:tcBorders>
              <w:top w:val="single" w:color="auto" w:sz="4" w:space="0"/>
              <w:left w:val="single" w:color="auto" w:sz="4" w:space="0"/>
              <w:bottom w:val="single" w:color="auto" w:sz="4" w:space="0"/>
              <w:right w:val="single" w:color="auto" w:sz="4" w:space="0"/>
            </w:tcBorders>
          </w:tcPr>
          <w:p w14:paraId="627AACA7">
            <w:pPr>
              <w:pStyle w:val="43"/>
            </w:pPr>
          </w:p>
        </w:tc>
        <w:tc>
          <w:tcPr>
            <w:tcW w:w="1036" w:type="pct"/>
            <w:tcBorders>
              <w:top w:val="single" w:color="auto" w:sz="4" w:space="0"/>
              <w:left w:val="single" w:color="auto" w:sz="4" w:space="0"/>
              <w:bottom w:val="single" w:color="auto" w:sz="4" w:space="0"/>
              <w:right w:val="single" w:color="auto" w:sz="4" w:space="0"/>
            </w:tcBorders>
          </w:tcPr>
          <w:p w14:paraId="3372AD38">
            <w:pPr>
              <w:pStyle w:val="43"/>
            </w:pPr>
          </w:p>
        </w:tc>
        <w:tc>
          <w:tcPr>
            <w:tcW w:w="1205" w:type="pct"/>
            <w:tcBorders>
              <w:top w:val="single" w:color="auto" w:sz="4" w:space="0"/>
              <w:left w:val="single" w:color="auto" w:sz="4" w:space="0"/>
              <w:bottom w:val="single" w:color="auto" w:sz="4" w:space="0"/>
              <w:right w:val="single" w:color="auto" w:sz="4" w:space="0"/>
            </w:tcBorders>
          </w:tcPr>
          <w:p w14:paraId="53846FD5">
            <w:pPr>
              <w:pStyle w:val="43"/>
            </w:pPr>
          </w:p>
        </w:tc>
        <w:tc>
          <w:tcPr>
            <w:tcW w:w="1205" w:type="pct"/>
            <w:tcBorders>
              <w:top w:val="single" w:color="auto" w:sz="4" w:space="0"/>
              <w:left w:val="single" w:color="auto" w:sz="4" w:space="0"/>
              <w:bottom w:val="single" w:color="auto" w:sz="4" w:space="0"/>
              <w:right w:val="single" w:color="auto" w:sz="4" w:space="0"/>
            </w:tcBorders>
          </w:tcPr>
          <w:p w14:paraId="638AFAF0">
            <w:pPr>
              <w:pStyle w:val="43"/>
            </w:pPr>
          </w:p>
        </w:tc>
      </w:tr>
      <w:tr w14:paraId="4807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1BD2FCC8">
            <w:pPr>
              <w:pStyle w:val="43"/>
            </w:pPr>
          </w:p>
        </w:tc>
        <w:tc>
          <w:tcPr>
            <w:tcW w:w="1165" w:type="pct"/>
            <w:tcBorders>
              <w:top w:val="single" w:color="auto" w:sz="4" w:space="0"/>
              <w:left w:val="single" w:color="auto" w:sz="4" w:space="0"/>
              <w:bottom w:val="single" w:color="auto" w:sz="4" w:space="0"/>
              <w:right w:val="single" w:color="auto" w:sz="4" w:space="0"/>
            </w:tcBorders>
          </w:tcPr>
          <w:p w14:paraId="0CB063C5">
            <w:pPr>
              <w:pStyle w:val="43"/>
            </w:pPr>
          </w:p>
        </w:tc>
        <w:tc>
          <w:tcPr>
            <w:tcW w:w="1036" w:type="pct"/>
            <w:tcBorders>
              <w:top w:val="single" w:color="auto" w:sz="4" w:space="0"/>
              <w:left w:val="single" w:color="auto" w:sz="4" w:space="0"/>
              <w:bottom w:val="single" w:color="auto" w:sz="4" w:space="0"/>
              <w:right w:val="single" w:color="auto" w:sz="4" w:space="0"/>
            </w:tcBorders>
          </w:tcPr>
          <w:p w14:paraId="1EDA8C9C">
            <w:pPr>
              <w:pStyle w:val="43"/>
            </w:pPr>
          </w:p>
        </w:tc>
        <w:tc>
          <w:tcPr>
            <w:tcW w:w="1205" w:type="pct"/>
            <w:tcBorders>
              <w:top w:val="single" w:color="auto" w:sz="4" w:space="0"/>
              <w:left w:val="single" w:color="auto" w:sz="4" w:space="0"/>
              <w:bottom w:val="single" w:color="auto" w:sz="4" w:space="0"/>
              <w:right w:val="single" w:color="auto" w:sz="4" w:space="0"/>
            </w:tcBorders>
          </w:tcPr>
          <w:p w14:paraId="5D5EF0FC">
            <w:pPr>
              <w:pStyle w:val="43"/>
            </w:pPr>
          </w:p>
        </w:tc>
        <w:tc>
          <w:tcPr>
            <w:tcW w:w="1205" w:type="pct"/>
            <w:tcBorders>
              <w:top w:val="single" w:color="auto" w:sz="4" w:space="0"/>
              <w:left w:val="single" w:color="auto" w:sz="4" w:space="0"/>
              <w:bottom w:val="single" w:color="auto" w:sz="4" w:space="0"/>
              <w:right w:val="single" w:color="auto" w:sz="4" w:space="0"/>
            </w:tcBorders>
          </w:tcPr>
          <w:p w14:paraId="25E8B14D">
            <w:pPr>
              <w:pStyle w:val="43"/>
            </w:pPr>
          </w:p>
        </w:tc>
      </w:tr>
      <w:tr w14:paraId="0B8E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355999C">
            <w:pPr>
              <w:pStyle w:val="43"/>
            </w:pPr>
          </w:p>
        </w:tc>
        <w:tc>
          <w:tcPr>
            <w:tcW w:w="1165" w:type="pct"/>
            <w:tcBorders>
              <w:top w:val="single" w:color="auto" w:sz="4" w:space="0"/>
              <w:left w:val="single" w:color="auto" w:sz="4" w:space="0"/>
              <w:bottom w:val="single" w:color="auto" w:sz="4" w:space="0"/>
              <w:right w:val="single" w:color="auto" w:sz="4" w:space="0"/>
            </w:tcBorders>
          </w:tcPr>
          <w:p w14:paraId="733E8063">
            <w:pPr>
              <w:pStyle w:val="43"/>
            </w:pPr>
          </w:p>
        </w:tc>
        <w:tc>
          <w:tcPr>
            <w:tcW w:w="1036" w:type="pct"/>
            <w:tcBorders>
              <w:top w:val="single" w:color="auto" w:sz="4" w:space="0"/>
              <w:left w:val="single" w:color="auto" w:sz="4" w:space="0"/>
              <w:bottom w:val="single" w:color="auto" w:sz="4" w:space="0"/>
              <w:right w:val="single" w:color="auto" w:sz="4" w:space="0"/>
            </w:tcBorders>
          </w:tcPr>
          <w:p w14:paraId="0D83A29A">
            <w:pPr>
              <w:pStyle w:val="43"/>
            </w:pPr>
          </w:p>
        </w:tc>
        <w:tc>
          <w:tcPr>
            <w:tcW w:w="1205" w:type="pct"/>
            <w:tcBorders>
              <w:top w:val="single" w:color="auto" w:sz="4" w:space="0"/>
              <w:left w:val="single" w:color="auto" w:sz="4" w:space="0"/>
              <w:bottom w:val="single" w:color="auto" w:sz="4" w:space="0"/>
              <w:right w:val="single" w:color="auto" w:sz="4" w:space="0"/>
            </w:tcBorders>
          </w:tcPr>
          <w:p w14:paraId="4993D5D1">
            <w:pPr>
              <w:pStyle w:val="43"/>
            </w:pPr>
          </w:p>
        </w:tc>
        <w:tc>
          <w:tcPr>
            <w:tcW w:w="1205" w:type="pct"/>
            <w:tcBorders>
              <w:top w:val="single" w:color="auto" w:sz="4" w:space="0"/>
              <w:left w:val="single" w:color="auto" w:sz="4" w:space="0"/>
              <w:bottom w:val="single" w:color="auto" w:sz="4" w:space="0"/>
              <w:right w:val="single" w:color="auto" w:sz="4" w:space="0"/>
            </w:tcBorders>
          </w:tcPr>
          <w:p w14:paraId="3CC4F7B4">
            <w:pPr>
              <w:pStyle w:val="43"/>
            </w:pPr>
          </w:p>
        </w:tc>
      </w:tr>
      <w:tr w14:paraId="56E0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666ED8F">
            <w:pPr>
              <w:pStyle w:val="43"/>
            </w:pPr>
          </w:p>
        </w:tc>
        <w:tc>
          <w:tcPr>
            <w:tcW w:w="1165" w:type="pct"/>
            <w:tcBorders>
              <w:top w:val="single" w:color="auto" w:sz="4" w:space="0"/>
              <w:left w:val="single" w:color="auto" w:sz="4" w:space="0"/>
              <w:bottom w:val="single" w:color="auto" w:sz="4" w:space="0"/>
              <w:right w:val="single" w:color="auto" w:sz="4" w:space="0"/>
            </w:tcBorders>
          </w:tcPr>
          <w:p w14:paraId="43D95080">
            <w:pPr>
              <w:pStyle w:val="43"/>
            </w:pPr>
          </w:p>
        </w:tc>
        <w:tc>
          <w:tcPr>
            <w:tcW w:w="1036" w:type="pct"/>
            <w:tcBorders>
              <w:top w:val="single" w:color="auto" w:sz="4" w:space="0"/>
              <w:left w:val="single" w:color="auto" w:sz="4" w:space="0"/>
              <w:bottom w:val="single" w:color="auto" w:sz="4" w:space="0"/>
              <w:right w:val="single" w:color="auto" w:sz="4" w:space="0"/>
            </w:tcBorders>
          </w:tcPr>
          <w:p w14:paraId="2BCA8621">
            <w:pPr>
              <w:pStyle w:val="43"/>
            </w:pPr>
          </w:p>
        </w:tc>
        <w:tc>
          <w:tcPr>
            <w:tcW w:w="1205" w:type="pct"/>
            <w:tcBorders>
              <w:top w:val="single" w:color="auto" w:sz="4" w:space="0"/>
              <w:left w:val="single" w:color="auto" w:sz="4" w:space="0"/>
              <w:bottom w:val="single" w:color="auto" w:sz="4" w:space="0"/>
              <w:right w:val="single" w:color="auto" w:sz="4" w:space="0"/>
            </w:tcBorders>
          </w:tcPr>
          <w:p w14:paraId="123F9089">
            <w:pPr>
              <w:pStyle w:val="43"/>
            </w:pPr>
          </w:p>
        </w:tc>
        <w:tc>
          <w:tcPr>
            <w:tcW w:w="1205" w:type="pct"/>
            <w:tcBorders>
              <w:top w:val="single" w:color="auto" w:sz="4" w:space="0"/>
              <w:left w:val="single" w:color="auto" w:sz="4" w:space="0"/>
              <w:bottom w:val="single" w:color="auto" w:sz="4" w:space="0"/>
              <w:right w:val="single" w:color="auto" w:sz="4" w:space="0"/>
            </w:tcBorders>
          </w:tcPr>
          <w:p w14:paraId="60F24BBF">
            <w:pPr>
              <w:pStyle w:val="43"/>
            </w:pPr>
          </w:p>
        </w:tc>
      </w:tr>
      <w:tr w14:paraId="0C6C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3895D6B">
            <w:pPr>
              <w:pStyle w:val="43"/>
            </w:pPr>
          </w:p>
        </w:tc>
        <w:tc>
          <w:tcPr>
            <w:tcW w:w="1165" w:type="pct"/>
            <w:tcBorders>
              <w:top w:val="single" w:color="auto" w:sz="4" w:space="0"/>
              <w:left w:val="single" w:color="auto" w:sz="4" w:space="0"/>
              <w:bottom w:val="single" w:color="auto" w:sz="4" w:space="0"/>
              <w:right w:val="single" w:color="auto" w:sz="4" w:space="0"/>
            </w:tcBorders>
          </w:tcPr>
          <w:p w14:paraId="5E93DC18">
            <w:pPr>
              <w:pStyle w:val="43"/>
            </w:pPr>
          </w:p>
        </w:tc>
        <w:tc>
          <w:tcPr>
            <w:tcW w:w="1036" w:type="pct"/>
            <w:tcBorders>
              <w:top w:val="single" w:color="auto" w:sz="4" w:space="0"/>
              <w:left w:val="single" w:color="auto" w:sz="4" w:space="0"/>
              <w:bottom w:val="single" w:color="auto" w:sz="4" w:space="0"/>
              <w:right w:val="single" w:color="auto" w:sz="4" w:space="0"/>
            </w:tcBorders>
          </w:tcPr>
          <w:p w14:paraId="4D7A7818">
            <w:pPr>
              <w:pStyle w:val="43"/>
            </w:pPr>
          </w:p>
        </w:tc>
        <w:tc>
          <w:tcPr>
            <w:tcW w:w="1205" w:type="pct"/>
            <w:tcBorders>
              <w:top w:val="single" w:color="auto" w:sz="4" w:space="0"/>
              <w:left w:val="single" w:color="auto" w:sz="4" w:space="0"/>
              <w:bottom w:val="single" w:color="auto" w:sz="4" w:space="0"/>
              <w:right w:val="single" w:color="auto" w:sz="4" w:space="0"/>
            </w:tcBorders>
          </w:tcPr>
          <w:p w14:paraId="512DA0CD">
            <w:pPr>
              <w:pStyle w:val="43"/>
            </w:pPr>
          </w:p>
        </w:tc>
        <w:tc>
          <w:tcPr>
            <w:tcW w:w="1205" w:type="pct"/>
            <w:tcBorders>
              <w:top w:val="single" w:color="auto" w:sz="4" w:space="0"/>
              <w:left w:val="single" w:color="auto" w:sz="4" w:space="0"/>
              <w:bottom w:val="single" w:color="auto" w:sz="4" w:space="0"/>
              <w:right w:val="single" w:color="auto" w:sz="4" w:space="0"/>
            </w:tcBorders>
          </w:tcPr>
          <w:p w14:paraId="1394B868">
            <w:pPr>
              <w:pStyle w:val="43"/>
            </w:pPr>
          </w:p>
        </w:tc>
      </w:tr>
      <w:tr w14:paraId="4D76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1FC973E">
            <w:pPr>
              <w:pStyle w:val="43"/>
            </w:pPr>
            <w:r>
              <w:rPr>
                <w:rFonts w:hint="eastAsia"/>
              </w:rPr>
              <w:t>……</w:t>
            </w:r>
          </w:p>
        </w:tc>
        <w:tc>
          <w:tcPr>
            <w:tcW w:w="1165" w:type="pct"/>
            <w:tcBorders>
              <w:top w:val="single" w:color="auto" w:sz="4" w:space="0"/>
              <w:left w:val="single" w:color="auto" w:sz="4" w:space="0"/>
              <w:bottom w:val="single" w:color="auto" w:sz="4" w:space="0"/>
              <w:right w:val="single" w:color="auto" w:sz="4" w:space="0"/>
            </w:tcBorders>
          </w:tcPr>
          <w:p w14:paraId="6B4E1BA2">
            <w:pPr>
              <w:pStyle w:val="43"/>
            </w:pPr>
            <w:r>
              <w:rPr>
                <w:rFonts w:hint="eastAsia"/>
              </w:rPr>
              <w:t>…………</w:t>
            </w:r>
          </w:p>
        </w:tc>
        <w:tc>
          <w:tcPr>
            <w:tcW w:w="1036" w:type="pct"/>
            <w:tcBorders>
              <w:top w:val="single" w:color="auto" w:sz="4" w:space="0"/>
              <w:left w:val="single" w:color="auto" w:sz="4" w:space="0"/>
              <w:bottom w:val="single" w:color="auto" w:sz="4" w:space="0"/>
              <w:right w:val="single" w:color="auto" w:sz="4" w:space="0"/>
            </w:tcBorders>
          </w:tcPr>
          <w:p w14:paraId="2B3BD714">
            <w:pPr>
              <w:pStyle w:val="43"/>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14799DD1">
            <w:pPr>
              <w:pStyle w:val="43"/>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5B90ABD8">
            <w:pPr>
              <w:pStyle w:val="43"/>
            </w:pPr>
          </w:p>
        </w:tc>
      </w:tr>
      <w:bookmarkEnd w:id="640"/>
    </w:tbl>
    <w:p w14:paraId="44C4EB06">
      <w:pPr>
        <w:ind w:firstLine="480" w:firstLineChars="200"/>
        <w:rPr>
          <w:rFonts w:cs="仿宋_GB2312"/>
        </w:rPr>
      </w:pPr>
    </w:p>
    <w:p w14:paraId="627A8973">
      <w:pPr>
        <w:ind w:firstLine="480" w:firstLineChars="200"/>
        <w:rPr>
          <w:rFonts w:cs="仿宋_GB2312"/>
        </w:rPr>
      </w:pPr>
      <w:r>
        <w:rPr>
          <w:rFonts w:hint="eastAsia" w:cs="仿宋_GB2312"/>
        </w:rPr>
        <w:t>说明：</w:t>
      </w:r>
    </w:p>
    <w:p w14:paraId="00C17FA1">
      <w:pPr>
        <w:ind w:firstLine="480" w:firstLineChars="200"/>
        <w:rPr>
          <w:rFonts w:cs="仿宋_GB2312"/>
        </w:rPr>
      </w:pPr>
      <w:bookmarkStart w:id="641" w:name="_Hlk161702947"/>
      <w:r>
        <w:rPr>
          <w:rFonts w:hint="eastAsia" w:cs="仿宋_GB2312"/>
          <w:szCs w:val="24"/>
        </w:rPr>
        <w:t>供应商应按照竞争性磋商文件第三章 采购需求“四、技术要求”填写。</w:t>
      </w:r>
    </w:p>
    <w:bookmarkEnd w:id="641"/>
    <w:p w14:paraId="50D86238">
      <w:pPr>
        <w:ind w:firstLine="480" w:firstLineChars="200"/>
        <w:rPr>
          <w:rFonts w:cs="仿宋_GB2312"/>
        </w:rPr>
      </w:pPr>
    </w:p>
    <w:p w14:paraId="52726FBB">
      <w:pPr>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3BF64CB1">
      <w:pPr>
        <w:rPr>
          <w:rFonts w:cs="仿宋_GB2312"/>
        </w:rPr>
      </w:pPr>
      <w:r>
        <w:rPr>
          <w:rFonts w:hint="eastAsia" w:cs="仿宋_GB2312"/>
        </w:rPr>
        <w:t>日      期：   年    月    日</w:t>
      </w:r>
    </w:p>
    <w:p w14:paraId="19160EDC">
      <w:pPr>
        <w:rPr>
          <w:rFonts w:cs="仿宋_GB2312"/>
        </w:rPr>
      </w:pPr>
      <w:r>
        <w:rPr>
          <w:rFonts w:cs="仿宋_GB2312"/>
        </w:rPr>
        <w:br w:type="page"/>
      </w:r>
    </w:p>
    <w:p w14:paraId="5E8517A3">
      <w:pPr>
        <w:pStyle w:val="4"/>
        <w:numPr>
          <w:ilvl w:val="0"/>
          <w:numId w:val="32"/>
        </w:numPr>
        <w:rPr>
          <w:rFonts w:cs="仿宋_GB2312"/>
          <w:sz w:val="28"/>
          <w:szCs w:val="28"/>
        </w:rPr>
      </w:pPr>
      <w:bookmarkStart w:id="642" w:name="_Toc23302"/>
      <w:bookmarkStart w:id="643" w:name="_Toc156490370"/>
      <w:bookmarkStart w:id="644" w:name="_Toc163493662"/>
      <w:bookmarkStart w:id="645" w:name="_Toc30069"/>
      <w:r>
        <w:rPr>
          <w:rFonts w:hint="eastAsia" w:cs="仿宋_GB2312"/>
          <w:sz w:val="28"/>
          <w:szCs w:val="28"/>
        </w:rPr>
        <w:t>技术方案</w:t>
      </w:r>
      <w:bookmarkEnd w:id="642"/>
      <w:bookmarkEnd w:id="643"/>
      <w:bookmarkEnd w:id="644"/>
      <w:bookmarkEnd w:id="645"/>
    </w:p>
    <w:p w14:paraId="59DDEC98">
      <w:pPr>
        <w:ind w:firstLine="480" w:firstLineChars="200"/>
        <w:rPr>
          <w:rFonts w:cs="仿宋_GB2312"/>
        </w:rPr>
      </w:pPr>
      <w:r>
        <w:rPr>
          <w:rFonts w:hint="eastAsia" w:cs="仿宋_GB2312"/>
        </w:rPr>
        <w:t>供应商应按照磋商文件的要求，提供详细的服务方案，包括文字描述或图表显示。方案格式自拟。</w:t>
      </w:r>
    </w:p>
    <w:p w14:paraId="7BC60D45">
      <w:r>
        <w:br w:type="page"/>
      </w:r>
    </w:p>
    <w:p w14:paraId="440AA54F">
      <w:pPr>
        <w:pStyle w:val="4"/>
        <w:numPr>
          <w:ilvl w:val="0"/>
          <w:numId w:val="32"/>
        </w:numPr>
        <w:rPr>
          <w:rFonts w:hint="eastAsia" w:cs="Times New Roman" w:asciiTheme="majorEastAsia" w:hAnsiTheme="majorEastAsia"/>
          <w:color w:val="000000" w:themeColor="text1"/>
          <w:sz w:val="24"/>
          <w:szCs w:val="24"/>
          <w14:textFill>
            <w14:solidFill>
              <w14:schemeClr w14:val="tx1"/>
            </w14:solidFill>
          </w14:textFill>
        </w:rPr>
      </w:pPr>
      <w:bookmarkStart w:id="646" w:name="_Toc156490371"/>
      <w:bookmarkStart w:id="647" w:name="_Toc8950"/>
      <w:bookmarkStart w:id="648" w:name="_Toc7340"/>
      <w:bookmarkStart w:id="649" w:name="_Toc163493663"/>
      <w:r>
        <w:rPr>
          <w:rFonts w:hint="eastAsia" w:cs="仿宋_GB2312"/>
          <w:sz w:val="28"/>
          <w:szCs w:val="28"/>
        </w:rPr>
        <w:t>其它技术文件</w:t>
      </w:r>
      <w:bookmarkEnd w:id="646"/>
      <w:bookmarkEnd w:id="647"/>
      <w:bookmarkEnd w:id="648"/>
      <w:bookmarkEnd w:id="649"/>
    </w:p>
    <w:p w14:paraId="3EB66452">
      <w:pPr>
        <w:pStyle w:val="4"/>
        <w:numPr>
          <w:ilvl w:val="0"/>
          <w:numId w:val="0"/>
        </w:numPr>
        <w:tabs>
          <w:tab w:val="left" w:pos="1605"/>
        </w:tabs>
        <w:ind w:leftChars="0"/>
        <w:rPr>
          <w:rFonts w:hint="eastAsia"/>
        </w:rPr>
      </w:pPr>
      <w:bookmarkStart w:id="650" w:name="_Toc27094"/>
      <w:bookmarkStart w:id="651" w:name="_Toc26139"/>
      <w:r>
        <w:rPr>
          <w:rFonts w:hint="eastAsia"/>
          <w:lang w:val="en-US" w:eastAsia="zh-CN"/>
        </w:rPr>
        <w:t>1.</w:t>
      </w:r>
      <w:r>
        <w:rPr>
          <w:rFonts w:hint="eastAsia"/>
        </w:rPr>
        <w:t>主要材料清单</w:t>
      </w:r>
      <w:bookmarkEnd w:id="650"/>
      <w:bookmarkEnd w:id="651"/>
    </w:p>
    <w:p w14:paraId="6334E3D2">
      <w:pPr>
        <w:ind w:firstLine="480" w:firstLineChars="200"/>
        <w:rPr>
          <w:rFonts w:hint="eastAsia" w:cs="仿宋_GB2312"/>
          <w:lang w:val="zh-CN"/>
        </w:rPr>
      </w:pPr>
      <w:r>
        <w:rPr>
          <w:rFonts w:hint="eastAsia" w:cs="仿宋_GB2312"/>
          <w:lang w:val="zh-CN"/>
        </w:rPr>
        <w:t>项目名称：</w:t>
      </w:r>
    </w:p>
    <w:p w14:paraId="788603C4">
      <w:pPr>
        <w:ind w:firstLine="480" w:firstLineChars="200"/>
        <w:rPr>
          <w:b/>
          <w:color w:val="000000" w:themeColor="text1"/>
          <w:szCs w:val="21"/>
          <w:u w:val="single"/>
          <w:lang w:val="zh-CN"/>
          <w14:textFill>
            <w14:solidFill>
              <w14:schemeClr w14:val="tx1"/>
            </w14:solidFill>
          </w14:textFill>
        </w:rPr>
      </w:pPr>
      <w:r>
        <w:rPr>
          <w:rFonts w:hint="eastAsia" w:cs="仿宋_GB2312"/>
          <w:lang w:val="zh-CN"/>
        </w:rPr>
        <w:t>项目编号：</w:t>
      </w:r>
      <w:r>
        <w:rPr>
          <w:rFonts w:hint="eastAsia"/>
          <w:b/>
          <w:bCs/>
          <w:color w:val="000000" w:themeColor="text1"/>
          <w:szCs w:val="21"/>
          <w:lang w:val="zh-CN"/>
          <w14:textFill>
            <w14:solidFill>
              <w14:schemeClr w14:val="tx1"/>
            </w14:solidFill>
          </w14:textFill>
        </w:rPr>
        <w:t xml:space="preserve">             </w:t>
      </w:r>
    </w:p>
    <w:tbl>
      <w:tblPr>
        <w:tblStyle w:val="26"/>
        <w:tblW w:w="94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11"/>
        <w:gridCol w:w="2085"/>
        <w:gridCol w:w="1230"/>
        <w:gridCol w:w="1157"/>
        <w:gridCol w:w="1830"/>
        <w:gridCol w:w="2118"/>
      </w:tblGrid>
      <w:tr w14:paraId="45B44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11" w:type="dxa"/>
            <w:shd w:val="clear" w:color="AEAAAA" w:themeColor="background2" w:themeShade="BF" w:fill="F1F1F1" w:themeFill="background1" w:themeFillShade="F2"/>
            <w:vAlign w:val="center"/>
          </w:tcPr>
          <w:p w14:paraId="34223F13">
            <w:pPr>
              <w:ind w:left="-120" w:leftChars="-50" w:right="-120" w:rightChars="-50"/>
              <w:jc w:val="center"/>
              <w:rPr>
                <w:rFonts w:cs="宋体"/>
                <w:b/>
                <w:color w:val="000000" w:themeColor="text1"/>
                <w14:textFill>
                  <w14:solidFill>
                    <w14:schemeClr w14:val="tx1"/>
                  </w14:solidFill>
                </w14:textFill>
              </w:rPr>
            </w:pPr>
            <w:r>
              <w:rPr>
                <w:rFonts w:hint="eastAsia" w:cs="仿宋_GB2312"/>
                <w:b/>
                <w:color w:val="000000" w:themeColor="text1"/>
                <w:szCs w:val="24"/>
                <w14:textFill>
                  <w14:solidFill>
                    <w14:schemeClr w14:val="tx1"/>
                  </w14:solidFill>
                </w14:textFill>
              </w:rPr>
              <w:t>序号</w:t>
            </w:r>
          </w:p>
        </w:tc>
        <w:tc>
          <w:tcPr>
            <w:tcW w:w="2085" w:type="dxa"/>
            <w:shd w:val="clear" w:color="AEAAAA" w:themeColor="background2" w:themeShade="BF" w:fill="F1F1F1" w:themeFill="background1" w:themeFillShade="F2"/>
            <w:vAlign w:val="center"/>
          </w:tcPr>
          <w:p w14:paraId="2A1CD6F3">
            <w:pPr>
              <w:spacing w:line="360" w:lineRule="auto"/>
              <w:ind w:left="-55" w:leftChars="-23" w:right="-74" w:rightChars="-31"/>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主要材料</w:t>
            </w:r>
            <w:r>
              <w:rPr>
                <w:rFonts w:cs="宋体"/>
                <w:b/>
                <w:color w:val="000000" w:themeColor="text1"/>
                <w14:textFill>
                  <w14:solidFill>
                    <w14:schemeClr w14:val="tx1"/>
                  </w14:solidFill>
                </w14:textFill>
              </w:rPr>
              <w:t>名称</w:t>
            </w:r>
          </w:p>
        </w:tc>
        <w:tc>
          <w:tcPr>
            <w:tcW w:w="1230" w:type="dxa"/>
            <w:shd w:val="clear" w:color="AEAAAA" w:themeColor="background2" w:themeShade="BF" w:fill="F1F1F1" w:themeFill="background1" w:themeFillShade="F2"/>
            <w:vAlign w:val="center"/>
          </w:tcPr>
          <w:p w14:paraId="5BED8071">
            <w:pPr>
              <w:ind w:left="-55" w:leftChars="-23" w:right="-74" w:rightChars="-31"/>
              <w:jc w:val="center"/>
              <w:rPr>
                <w:rFonts w:cs="宋体"/>
                <w:b/>
                <w:color w:val="000000" w:themeColor="text1"/>
                <w14:textFill>
                  <w14:solidFill>
                    <w14:schemeClr w14:val="tx1"/>
                  </w14:solidFill>
                </w14:textFill>
              </w:rPr>
            </w:pPr>
            <w:r>
              <w:rPr>
                <w:rFonts w:hint="eastAsia"/>
                <w:b/>
                <w:color w:val="000000" w:themeColor="text1"/>
                <w14:textFill>
                  <w14:solidFill>
                    <w14:schemeClr w14:val="tx1"/>
                  </w14:solidFill>
                </w14:textFill>
              </w:rPr>
              <w:t>型号</w:t>
            </w:r>
          </w:p>
        </w:tc>
        <w:tc>
          <w:tcPr>
            <w:tcW w:w="1157" w:type="dxa"/>
            <w:tcBorders>
              <w:right w:val="single" w:color="auto" w:sz="4" w:space="0"/>
            </w:tcBorders>
            <w:shd w:val="clear" w:color="AEAAAA" w:themeColor="background2" w:themeShade="BF" w:fill="F1F1F1" w:themeFill="background1" w:themeFillShade="F2"/>
            <w:vAlign w:val="center"/>
          </w:tcPr>
          <w:p w14:paraId="2E3AD014">
            <w:pPr>
              <w:spacing w:line="360" w:lineRule="auto"/>
              <w:ind w:left="-55" w:leftChars="-23" w:right="-74" w:rightChars="-31"/>
              <w:jc w:val="center"/>
              <w:rPr>
                <w:rFonts w:cs="宋体"/>
                <w:b/>
                <w:color w:val="000000" w:themeColor="text1"/>
                <w14:textFill>
                  <w14:solidFill>
                    <w14:schemeClr w14:val="tx1"/>
                  </w14:solidFill>
                </w14:textFill>
              </w:rPr>
            </w:pPr>
            <w:r>
              <w:rPr>
                <w:rFonts w:hint="eastAsia"/>
                <w:b/>
                <w:color w:val="000000" w:themeColor="text1"/>
                <w14:textFill>
                  <w14:solidFill>
                    <w14:schemeClr w14:val="tx1"/>
                  </w14:solidFill>
                </w14:textFill>
              </w:rPr>
              <w:t>品牌</w:t>
            </w:r>
          </w:p>
        </w:tc>
        <w:tc>
          <w:tcPr>
            <w:tcW w:w="1830" w:type="dxa"/>
            <w:tcBorders>
              <w:right w:val="single" w:color="auto" w:sz="4" w:space="0"/>
            </w:tcBorders>
            <w:shd w:val="clear" w:color="AEAAAA" w:themeColor="background2" w:themeShade="BF" w:fill="F1F1F1" w:themeFill="background1" w:themeFillShade="F2"/>
            <w:vAlign w:val="center"/>
          </w:tcPr>
          <w:p w14:paraId="12BF71C6">
            <w:pPr>
              <w:spacing w:line="360" w:lineRule="auto"/>
              <w:ind w:left="-26" w:leftChars="-11" w:right="-74" w:rightChars="-31"/>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生产厂家</w:t>
            </w:r>
          </w:p>
        </w:tc>
        <w:tc>
          <w:tcPr>
            <w:tcW w:w="2118" w:type="dxa"/>
            <w:tcBorders>
              <w:left w:val="single" w:color="auto" w:sz="4" w:space="0"/>
            </w:tcBorders>
            <w:shd w:val="clear" w:color="AEAAAA" w:themeColor="background2" w:themeShade="BF" w:fill="F1F1F1" w:themeFill="background1" w:themeFillShade="F2"/>
            <w:vAlign w:val="center"/>
          </w:tcPr>
          <w:p w14:paraId="466B3BE2">
            <w:pPr>
              <w:spacing w:line="360" w:lineRule="auto"/>
              <w:ind w:left="-26" w:leftChars="-11" w:right="-74" w:rightChars="-31"/>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产地</w:t>
            </w:r>
          </w:p>
        </w:tc>
      </w:tr>
      <w:tr w14:paraId="4A59F8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011" w:type="dxa"/>
            <w:shd w:val="clear" w:color="auto" w:fill="auto"/>
            <w:vAlign w:val="center"/>
          </w:tcPr>
          <w:p w14:paraId="38862709">
            <w:pPr>
              <w:numPr>
                <w:ilvl w:val="0"/>
                <w:numId w:val="33"/>
              </w:numPr>
              <w:tabs>
                <w:tab w:val="left" w:pos="61"/>
              </w:tabs>
              <w:adjustRightInd w:val="0"/>
              <w:snapToGrid w:val="0"/>
              <w:ind w:left="-72" w:leftChars="-30" w:firstLine="0"/>
              <w:jc w:val="center"/>
              <w:rPr>
                <w:color w:val="000000" w:themeColor="text1"/>
                <w14:textFill>
                  <w14:solidFill>
                    <w14:schemeClr w14:val="tx1"/>
                  </w14:solidFill>
                </w14:textFill>
              </w:rPr>
            </w:pPr>
          </w:p>
        </w:tc>
        <w:tc>
          <w:tcPr>
            <w:tcW w:w="2085" w:type="dxa"/>
            <w:shd w:val="clear" w:color="auto" w:fill="auto"/>
            <w:vAlign w:val="center"/>
          </w:tcPr>
          <w:p w14:paraId="53FCF641">
            <w:pPr>
              <w:tabs>
                <w:tab w:val="left" w:pos="0"/>
                <w:tab w:val="left" w:pos="56"/>
              </w:tabs>
              <w:adjustRightInd w:val="0"/>
              <w:snapToGrid w:val="0"/>
              <w:ind w:left="547" w:hanging="547" w:hangingChars="228"/>
              <w:jc w:val="center"/>
              <w:rPr>
                <w:color w:val="000000" w:themeColor="text1"/>
                <w14:textFill>
                  <w14:solidFill>
                    <w14:schemeClr w14:val="tx1"/>
                  </w14:solidFill>
                </w14:textFill>
              </w:rPr>
            </w:pPr>
          </w:p>
        </w:tc>
        <w:tc>
          <w:tcPr>
            <w:tcW w:w="1230" w:type="dxa"/>
            <w:shd w:val="clear" w:color="auto" w:fill="auto"/>
            <w:vAlign w:val="center"/>
          </w:tcPr>
          <w:p w14:paraId="54F12129">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157" w:type="dxa"/>
            <w:tcBorders>
              <w:right w:val="single" w:color="auto" w:sz="4" w:space="0"/>
            </w:tcBorders>
            <w:shd w:val="clear" w:color="auto" w:fill="auto"/>
            <w:vAlign w:val="center"/>
          </w:tcPr>
          <w:p w14:paraId="2729FAD0">
            <w:pPr>
              <w:spacing w:line="240" w:lineRule="atLeast"/>
              <w:ind w:left="-55" w:leftChars="-23" w:right="-430" w:rightChars="-179"/>
              <w:jc w:val="center"/>
              <w:rPr>
                <w:rFonts w:cs="宋体"/>
                <w:color w:val="000000" w:themeColor="text1"/>
                <w:szCs w:val="24"/>
                <w14:textFill>
                  <w14:solidFill>
                    <w14:schemeClr w14:val="tx1"/>
                  </w14:solidFill>
                </w14:textFill>
              </w:rPr>
            </w:pPr>
          </w:p>
        </w:tc>
        <w:tc>
          <w:tcPr>
            <w:tcW w:w="1830" w:type="dxa"/>
            <w:tcBorders>
              <w:right w:val="single" w:color="auto" w:sz="4" w:space="0"/>
            </w:tcBorders>
            <w:shd w:val="clear" w:color="auto" w:fill="auto"/>
            <w:vAlign w:val="center"/>
          </w:tcPr>
          <w:p w14:paraId="17F1EDD9">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2118" w:type="dxa"/>
            <w:tcBorders>
              <w:left w:val="single" w:color="auto" w:sz="4" w:space="0"/>
            </w:tcBorders>
            <w:shd w:val="clear" w:color="auto" w:fill="auto"/>
            <w:vAlign w:val="center"/>
          </w:tcPr>
          <w:p w14:paraId="261FF542">
            <w:pPr>
              <w:spacing w:line="240" w:lineRule="atLeast"/>
              <w:ind w:left="-55" w:leftChars="-23" w:right="-74" w:rightChars="-31"/>
              <w:jc w:val="center"/>
              <w:rPr>
                <w:rFonts w:cs="宋体"/>
                <w:color w:val="000000" w:themeColor="text1"/>
                <w:szCs w:val="24"/>
                <w14:textFill>
                  <w14:solidFill>
                    <w14:schemeClr w14:val="tx1"/>
                  </w14:solidFill>
                </w14:textFill>
              </w:rPr>
            </w:pPr>
          </w:p>
        </w:tc>
      </w:tr>
      <w:tr w14:paraId="7785B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011" w:type="dxa"/>
            <w:shd w:val="clear" w:color="auto" w:fill="auto"/>
            <w:vAlign w:val="center"/>
          </w:tcPr>
          <w:p w14:paraId="3231DBFC">
            <w:pPr>
              <w:numPr>
                <w:ilvl w:val="0"/>
                <w:numId w:val="33"/>
              </w:numPr>
              <w:tabs>
                <w:tab w:val="left" w:pos="61"/>
              </w:tabs>
              <w:adjustRightInd w:val="0"/>
              <w:snapToGrid w:val="0"/>
              <w:ind w:left="-72" w:leftChars="-30" w:firstLine="0"/>
              <w:jc w:val="center"/>
              <w:rPr>
                <w:color w:val="000000" w:themeColor="text1"/>
                <w14:textFill>
                  <w14:solidFill>
                    <w14:schemeClr w14:val="tx1"/>
                  </w14:solidFill>
                </w14:textFill>
              </w:rPr>
            </w:pPr>
          </w:p>
        </w:tc>
        <w:tc>
          <w:tcPr>
            <w:tcW w:w="2085" w:type="dxa"/>
            <w:shd w:val="clear" w:color="auto" w:fill="auto"/>
            <w:vAlign w:val="center"/>
          </w:tcPr>
          <w:p w14:paraId="5B0E5074">
            <w:pPr>
              <w:tabs>
                <w:tab w:val="left" w:pos="0"/>
                <w:tab w:val="left" w:pos="56"/>
              </w:tabs>
              <w:adjustRightInd w:val="0"/>
              <w:snapToGrid w:val="0"/>
              <w:jc w:val="center"/>
              <w:rPr>
                <w:color w:val="000000" w:themeColor="text1"/>
                <w14:textFill>
                  <w14:solidFill>
                    <w14:schemeClr w14:val="tx1"/>
                  </w14:solidFill>
                </w14:textFill>
              </w:rPr>
            </w:pPr>
          </w:p>
        </w:tc>
        <w:tc>
          <w:tcPr>
            <w:tcW w:w="1230" w:type="dxa"/>
            <w:shd w:val="clear" w:color="auto" w:fill="auto"/>
            <w:vAlign w:val="center"/>
          </w:tcPr>
          <w:p w14:paraId="287881CD">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157" w:type="dxa"/>
            <w:tcBorders>
              <w:right w:val="single" w:color="auto" w:sz="4" w:space="0"/>
            </w:tcBorders>
            <w:shd w:val="clear" w:color="auto" w:fill="auto"/>
            <w:vAlign w:val="center"/>
          </w:tcPr>
          <w:p w14:paraId="5DD85414">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1830" w:type="dxa"/>
            <w:tcBorders>
              <w:right w:val="single" w:color="auto" w:sz="4" w:space="0"/>
            </w:tcBorders>
            <w:shd w:val="clear" w:color="auto" w:fill="auto"/>
            <w:vAlign w:val="center"/>
          </w:tcPr>
          <w:p w14:paraId="18E206B2">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2118" w:type="dxa"/>
            <w:tcBorders>
              <w:left w:val="single" w:color="auto" w:sz="4" w:space="0"/>
            </w:tcBorders>
            <w:shd w:val="clear" w:color="auto" w:fill="auto"/>
            <w:vAlign w:val="center"/>
          </w:tcPr>
          <w:p w14:paraId="15BA9324">
            <w:pPr>
              <w:spacing w:line="240" w:lineRule="atLeast"/>
              <w:ind w:left="-55" w:leftChars="-23" w:right="-74" w:rightChars="-31"/>
              <w:jc w:val="center"/>
              <w:rPr>
                <w:rFonts w:cs="宋体"/>
                <w:color w:val="000000" w:themeColor="text1"/>
                <w:szCs w:val="24"/>
                <w14:textFill>
                  <w14:solidFill>
                    <w14:schemeClr w14:val="tx1"/>
                  </w14:solidFill>
                </w14:textFill>
              </w:rPr>
            </w:pPr>
          </w:p>
        </w:tc>
      </w:tr>
      <w:tr w14:paraId="20ACD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011" w:type="dxa"/>
            <w:shd w:val="clear" w:color="auto" w:fill="auto"/>
            <w:vAlign w:val="center"/>
          </w:tcPr>
          <w:p w14:paraId="4DC44AF0">
            <w:pPr>
              <w:numPr>
                <w:ilvl w:val="0"/>
                <w:numId w:val="33"/>
              </w:numPr>
              <w:tabs>
                <w:tab w:val="left" w:pos="61"/>
              </w:tabs>
              <w:adjustRightInd w:val="0"/>
              <w:snapToGrid w:val="0"/>
              <w:ind w:left="-72" w:leftChars="-30" w:firstLine="0"/>
              <w:jc w:val="center"/>
              <w:rPr>
                <w:color w:val="000000" w:themeColor="text1"/>
                <w14:textFill>
                  <w14:solidFill>
                    <w14:schemeClr w14:val="tx1"/>
                  </w14:solidFill>
                </w14:textFill>
              </w:rPr>
            </w:pPr>
          </w:p>
        </w:tc>
        <w:tc>
          <w:tcPr>
            <w:tcW w:w="2085" w:type="dxa"/>
            <w:shd w:val="clear" w:color="auto" w:fill="auto"/>
            <w:vAlign w:val="center"/>
          </w:tcPr>
          <w:p w14:paraId="2E1A488F">
            <w:pPr>
              <w:tabs>
                <w:tab w:val="left" w:pos="0"/>
                <w:tab w:val="left" w:pos="56"/>
              </w:tabs>
              <w:adjustRightInd w:val="0"/>
              <w:snapToGrid w:val="0"/>
              <w:jc w:val="center"/>
              <w:rPr>
                <w:color w:val="000000" w:themeColor="text1"/>
                <w14:textFill>
                  <w14:solidFill>
                    <w14:schemeClr w14:val="tx1"/>
                  </w14:solidFill>
                </w14:textFill>
              </w:rPr>
            </w:pPr>
          </w:p>
        </w:tc>
        <w:tc>
          <w:tcPr>
            <w:tcW w:w="1230" w:type="dxa"/>
            <w:shd w:val="clear" w:color="auto" w:fill="auto"/>
            <w:vAlign w:val="center"/>
          </w:tcPr>
          <w:p w14:paraId="6EB3804D">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157" w:type="dxa"/>
            <w:tcBorders>
              <w:right w:val="single" w:color="auto" w:sz="4" w:space="0"/>
            </w:tcBorders>
            <w:shd w:val="clear" w:color="auto" w:fill="auto"/>
            <w:vAlign w:val="center"/>
          </w:tcPr>
          <w:p w14:paraId="6D058BCD">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1830" w:type="dxa"/>
            <w:tcBorders>
              <w:right w:val="single" w:color="auto" w:sz="4" w:space="0"/>
            </w:tcBorders>
            <w:shd w:val="clear" w:color="auto" w:fill="auto"/>
            <w:vAlign w:val="center"/>
          </w:tcPr>
          <w:p w14:paraId="36951D2B">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2118" w:type="dxa"/>
            <w:tcBorders>
              <w:left w:val="single" w:color="auto" w:sz="4" w:space="0"/>
            </w:tcBorders>
            <w:shd w:val="clear" w:color="auto" w:fill="auto"/>
            <w:vAlign w:val="center"/>
          </w:tcPr>
          <w:p w14:paraId="5467E19B">
            <w:pPr>
              <w:spacing w:line="240" w:lineRule="atLeast"/>
              <w:ind w:left="-55" w:leftChars="-23" w:right="-74" w:rightChars="-31"/>
              <w:jc w:val="center"/>
              <w:rPr>
                <w:rFonts w:cs="宋体"/>
                <w:color w:val="000000" w:themeColor="text1"/>
                <w:szCs w:val="24"/>
                <w14:textFill>
                  <w14:solidFill>
                    <w14:schemeClr w14:val="tx1"/>
                  </w14:solidFill>
                </w14:textFill>
              </w:rPr>
            </w:pPr>
          </w:p>
        </w:tc>
      </w:tr>
      <w:tr w14:paraId="2DF5EB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011" w:type="dxa"/>
            <w:shd w:val="clear" w:color="auto" w:fill="auto"/>
            <w:vAlign w:val="center"/>
          </w:tcPr>
          <w:p w14:paraId="6CA8E4EC">
            <w:pPr>
              <w:numPr>
                <w:ilvl w:val="0"/>
                <w:numId w:val="33"/>
              </w:numPr>
              <w:tabs>
                <w:tab w:val="left" w:pos="61"/>
              </w:tabs>
              <w:adjustRightInd w:val="0"/>
              <w:snapToGrid w:val="0"/>
              <w:ind w:left="-72" w:leftChars="-30" w:firstLine="0"/>
              <w:jc w:val="center"/>
              <w:rPr>
                <w:color w:val="000000" w:themeColor="text1"/>
                <w14:textFill>
                  <w14:solidFill>
                    <w14:schemeClr w14:val="tx1"/>
                  </w14:solidFill>
                </w14:textFill>
              </w:rPr>
            </w:pPr>
          </w:p>
        </w:tc>
        <w:tc>
          <w:tcPr>
            <w:tcW w:w="2085" w:type="dxa"/>
            <w:shd w:val="clear" w:color="auto" w:fill="auto"/>
            <w:vAlign w:val="center"/>
          </w:tcPr>
          <w:p w14:paraId="4334B23B">
            <w:pPr>
              <w:tabs>
                <w:tab w:val="left" w:pos="0"/>
                <w:tab w:val="left" w:pos="56"/>
              </w:tabs>
              <w:adjustRightInd w:val="0"/>
              <w:snapToGrid w:val="0"/>
              <w:jc w:val="center"/>
              <w:rPr>
                <w:color w:val="000000" w:themeColor="text1"/>
                <w14:textFill>
                  <w14:solidFill>
                    <w14:schemeClr w14:val="tx1"/>
                  </w14:solidFill>
                </w14:textFill>
              </w:rPr>
            </w:pPr>
          </w:p>
        </w:tc>
        <w:tc>
          <w:tcPr>
            <w:tcW w:w="1230" w:type="dxa"/>
            <w:shd w:val="clear" w:color="auto" w:fill="auto"/>
            <w:vAlign w:val="center"/>
          </w:tcPr>
          <w:p w14:paraId="4E40CE15">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157" w:type="dxa"/>
            <w:tcBorders>
              <w:right w:val="single" w:color="auto" w:sz="4" w:space="0"/>
            </w:tcBorders>
            <w:shd w:val="clear" w:color="auto" w:fill="auto"/>
            <w:vAlign w:val="center"/>
          </w:tcPr>
          <w:p w14:paraId="74554285">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1830" w:type="dxa"/>
            <w:tcBorders>
              <w:right w:val="single" w:color="auto" w:sz="4" w:space="0"/>
            </w:tcBorders>
            <w:shd w:val="clear" w:color="auto" w:fill="auto"/>
            <w:vAlign w:val="center"/>
          </w:tcPr>
          <w:p w14:paraId="12EBAF0A">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2118" w:type="dxa"/>
            <w:tcBorders>
              <w:left w:val="single" w:color="auto" w:sz="4" w:space="0"/>
            </w:tcBorders>
            <w:shd w:val="clear" w:color="auto" w:fill="auto"/>
            <w:vAlign w:val="center"/>
          </w:tcPr>
          <w:p w14:paraId="19CDF81F">
            <w:pPr>
              <w:spacing w:line="240" w:lineRule="atLeast"/>
              <w:ind w:left="-55" w:leftChars="-23" w:right="-74" w:rightChars="-31"/>
              <w:jc w:val="center"/>
              <w:rPr>
                <w:rFonts w:cs="宋体"/>
                <w:color w:val="000000" w:themeColor="text1"/>
                <w:szCs w:val="24"/>
                <w14:textFill>
                  <w14:solidFill>
                    <w14:schemeClr w14:val="tx1"/>
                  </w14:solidFill>
                </w14:textFill>
              </w:rPr>
            </w:pPr>
          </w:p>
        </w:tc>
      </w:tr>
      <w:tr w14:paraId="68E50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011" w:type="dxa"/>
            <w:shd w:val="clear" w:color="auto" w:fill="auto"/>
            <w:vAlign w:val="center"/>
          </w:tcPr>
          <w:p w14:paraId="7AA2D7A0">
            <w:pPr>
              <w:numPr>
                <w:ilvl w:val="0"/>
                <w:numId w:val="33"/>
              </w:numPr>
              <w:tabs>
                <w:tab w:val="left" w:pos="61"/>
              </w:tabs>
              <w:adjustRightInd w:val="0"/>
              <w:snapToGrid w:val="0"/>
              <w:ind w:left="-72" w:leftChars="-30" w:firstLine="0"/>
              <w:jc w:val="center"/>
              <w:rPr>
                <w:color w:val="000000" w:themeColor="text1"/>
                <w14:textFill>
                  <w14:solidFill>
                    <w14:schemeClr w14:val="tx1"/>
                  </w14:solidFill>
                </w14:textFill>
              </w:rPr>
            </w:pPr>
          </w:p>
        </w:tc>
        <w:tc>
          <w:tcPr>
            <w:tcW w:w="2085" w:type="dxa"/>
            <w:shd w:val="clear" w:color="auto" w:fill="auto"/>
            <w:vAlign w:val="center"/>
          </w:tcPr>
          <w:p w14:paraId="6EC77736">
            <w:pPr>
              <w:tabs>
                <w:tab w:val="left" w:pos="0"/>
                <w:tab w:val="left" w:pos="56"/>
              </w:tabs>
              <w:adjustRightInd w:val="0"/>
              <w:snapToGrid w:val="0"/>
              <w:jc w:val="center"/>
              <w:rPr>
                <w:color w:val="000000" w:themeColor="text1"/>
                <w14:textFill>
                  <w14:solidFill>
                    <w14:schemeClr w14:val="tx1"/>
                  </w14:solidFill>
                </w14:textFill>
              </w:rPr>
            </w:pPr>
          </w:p>
        </w:tc>
        <w:tc>
          <w:tcPr>
            <w:tcW w:w="1230" w:type="dxa"/>
            <w:shd w:val="clear" w:color="auto" w:fill="auto"/>
            <w:vAlign w:val="center"/>
          </w:tcPr>
          <w:p w14:paraId="4BF34948">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157" w:type="dxa"/>
            <w:tcBorders>
              <w:right w:val="single" w:color="auto" w:sz="4" w:space="0"/>
            </w:tcBorders>
            <w:shd w:val="clear" w:color="auto" w:fill="auto"/>
            <w:vAlign w:val="center"/>
          </w:tcPr>
          <w:p w14:paraId="61BE9D90">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1830" w:type="dxa"/>
            <w:tcBorders>
              <w:right w:val="single" w:color="auto" w:sz="4" w:space="0"/>
            </w:tcBorders>
            <w:shd w:val="clear" w:color="auto" w:fill="auto"/>
            <w:vAlign w:val="center"/>
          </w:tcPr>
          <w:p w14:paraId="373BA9E0">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2118" w:type="dxa"/>
            <w:tcBorders>
              <w:left w:val="single" w:color="auto" w:sz="4" w:space="0"/>
            </w:tcBorders>
            <w:shd w:val="clear" w:color="auto" w:fill="auto"/>
            <w:vAlign w:val="center"/>
          </w:tcPr>
          <w:p w14:paraId="56927D48">
            <w:pPr>
              <w:spacing w:line="240" w:lineRule="atLeast"/>
              <w:ind w:left="-55" w:leftChars="-23" w:right="-74" w:rightChars="-31"/>
              <w:jc w:val="center"/>
              <w:rPr>
                <w:rFonts w:cs="宋体"/>
                <w:color w:val="000000" w:themeColor="text1"/>
                <w:szCs w:val="24"/>
                <w14:textFill>
                  <w14:solidFill>
                    <w14:schemeClr w14:val="tx1"/>
                  </w14:solidFill>
                </w14:textFill>
              </w:rPr>
            </w:pPr>
          </w:p>
        </w:tc>
      </w:tr>
      <w:tr w14:paraId="2BC01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011" w:type="dxa"/>
            <w:shd w:val="clear" w:color="auto" w:fill="auto"/>
            <w:vAlign w:val="center"/>
          </w:tcPr>
          <w:p w14:paraId="287AF502">
            <w:pPr>
              <w:numPr>
                <w:ilvl w:val="0"/>
                <w:numId w:val="33"/>
              </w:numPr>
              <w:tabs>
                <w:tab w:val="left" w:pos="61"/>
              </w:tabs>
              <w:adjustRightInd w:val="0"/>
              <w:snapToGrid w:val="0"/>
              <w:ind w:left="-72" w:leftChars="-30" w:firstLine="0"/>
              <w:jc w:val="center"/>
              <w:rPr>
                <w:color w:val="000000" w:themeColor="text1"/>
                <w14:textFill>
                  <w14:solidFill>
                    <w14:schemeClr w14:val="tx1"/>
                  </w14:solidFill>
                </w14:textFill>
              </w:rPr>
            </w:pPr>
          </w:p>
        </w:tc>
        <w:tc>
          <w:tcPr>
            <w:tcW w:w="2085" w:type="dxa"/>
            <w:shd w:val="clear" w:color="auto" w:fill="auto"/>
            <w:vAlign w:val="center"/>
          </w:tcPr>
          <w:p w14:paraId="4D0D1413">
            <w:pPr>
              <w:tabs>
                <w:tab w:val="left" w:pos="0"/>
                <w:tab w:val="left" w:pos="56"/>
              </w:tabs>
              <w:adjustRightInd w:val="0"/>
              <w:snapToGrid w:val="0"/>
              <w:jc w:val="center"/>
              <w:rPr>
                <w:color w:val="000000" w:themeColor="text1"/>
                <w14:textFill>
                  <w14:solidFill>
                    <w14:schemeClr w14:val="tx1"/>
                  </w14:solidFill>
                </w14:textFill>
              </w:rPr>
            </w:pPr>
          </w:p>
        </w:tc>
        <w:tc>
          <w:tcPr>
            <w:tcW w:w="1230" w:type="dxa"/>
            <w:shd w:val="clear" w:color="auto" w:fill="auto"/>
            <w:vAlign w:val="center"/>
          </w:tcPr>
          <w:p w14:paraId="3AF643C1">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157" w:type="dxa"/>
            <w:tcBorders>
              <w:right w:val="single" w:color="auto" w:sz="4" w:space="0"/>
            </w:tcBorders>
            <w:shd w:val="clear" w:color="auto" w:fill="auto"/>
            <w:vAlign w:val="center"/>
          </w:tcPr>
          <w:p w14:paraId="3E593299">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1830" w:type="dxa"/>
            <w:tcBorders>
              <w:right w:val="single" w:color="auto" w:sz="4" w:space="0"/>
            </w:tcBorders>
            <w:shd w:val="clear" w:color="auto" w:fill="auto"/>
            <w:vAlign w:val="center"/>
          </w:tcPr>
          <w:p w14:paraId="3199F0F6">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2118" w:type="dxa"/>
            <w:tcBorders>
              <w:left w:val="single" w:color="auto" w:sz="4" w:space="0"/>
            </w:tcBorders>
            <w:shd w:val="clear" w:color="auto" w:fill="auto"/>
            <w:vAlign w:val="center"/>
          </w:tcPr>
          <w:p w14:paraId="31E4B502">
            <w:pPr>
              <w:spacing w:line="240" w:lineRule="atLeast"/>
              <w:ind w:left="-55" w:leftChars="-23" w:right="-74" w:rightChars="-31"/>
              <w:jc w:val="center"/>
              <w:rPr>
                <w:rFonts w:cs="宋体"/>
                <w:color w:val="000000" w:themeColor="text1"/>
                <w:szCs w:val="24"/>
                <w14:textFill>
                  <w14:solidFill>
                    <w14:schemeClr w14:val="tx1"/>
                  </w14:solidFill>
                </w14:textFill>
              </w:rPr>
            </w:pPr>
          </w:p>
        </w:tc>
      </w:tr>
      <w:tr w14:paraId="2F6BA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011" w:type="dxa"/>
            <w:shd w:val="clear" w:color="auto" w:fill="auto"/>
            <w:vAlign w:val="center"/>
          </w:tcPr>
          <w:p w14:paraId="261A1DBC">
            <w:pPr>
              <w:numPr>
                <w:ilvl w:val="0"/>
                <w:numId w:val="33"/>
              </w:numPr>
              <w:tabs>
                <w:tab w:val="left" w:pos="61"/>
              </w:tabs>
              <w:adjustRightInd w:val="0"/>
              <w:snapToGrid w:val="0"/>
              <w:ind w:left="-72" w:leftChars="-30" w:firstLine="0"/>
              <w:jc w:val="center"/>
              <w:rPr>
                <w:color w:val="000000" w:themeColor="text1"/>
                <w14:textFill>
                  <w14:solidFill>
                    <w14:schemeClr w14:val="tx1"/>
                  </w14:solidFill>
                </w14:textFill>
              </w:rPr>
            </w:pPr>
          </w:p>
        </w:tc>
        <w:tc>
          <w:tcPr>
            <w:tcW w:w="2085" w:type="dxa"/>
            <w:shd w:val="clear" w:color="auto" w:fill="auto"/>
            <w:vAlign w:val="center"/>
          </w:tcPr>
          <w:p w14:paraId="401ACEB1">
            <w:pPr>
              <w:tabs>
                <w:tab w:val="left" w:pos="0"/>
                <w:tab w:val="left" w:pos="56"/>
              </w:tabs>
              <w:adjustRightInd w:val="0"/>
              <w:snapToGrid w:val="0"/>
              <w:jc w:val="center"/>
              <w:rPr>
                <w:color w:val="000000" w:themeColor="text1"/>
                <w14:textFill>
                  <w14:solidFill>
                    <w14:schemeClr w14:val="tx1"/>
                  </w14:solidFill>
                </w14:textFill>
              </w:rPr>
            </w:pPr>
          </w:p>
        </w:tc>
        <w:tc>
          <w:tcPr>
            <w:tcW w:w="1230" w:type="dxa"/>
            <w:shd w:val="clear" w:color="auto" w:fill="auto"/>
            <w:vAlign w:val="center"/>
          </w:tcPr>
          <w:p w14:paraId="00E6FF6A">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157" w:type="dxa"/>
            <w:tcBorders>
              <w:right w:val="single" w:color="auto" w:sz="4" w:space="0"/>
            </w:tcBorders>
            <w:shd w:val="clear" w:color="auto" w:fill="auto"/>
            <w:vAlign w:val="center"/>
          </w:tcPr>
          <w:p w14:paraId="7E1A0F87">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1830" w:type="dxa"/>
            <w:tcBorders>
              <w:right w:val="single" w:color="auto" w:sz="4" w:space="0"/>
            </w:tcBorders>
            <w:shd w:val="clear" w:color="auto" w:fill="auto"/>
            <w:vAlign w:val="center"/>
          </w:tcPr>
          <w:p w14:paraId="2DE81DA4">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2118" w:type="dxa"/>
            <w:tcBorders>
              <w:left w:val="single" w:color="auto" w:sz="4" w:space="0"/>
            </w:tcBorders>
            <w:shd w:val="clear" w:color="auto" w:fill="auto"/>
            <w:vAlign w:val="center"/>
          </w:tcPr>
          <w:p w14:paraId="596DFF4F">
            <w:pPr>
              <w:spacing w:line="240" w:lineRule="atLeast"/>
              <w:ind w:left="-55" w:leftChars="-23" w:right="-74" w:rightChars="-31"/>
              <w:jc w:val="center"/>
              <w:rPr>
                <w:rFonts w:cs="宋体"/>
                <w:color w:val="000000" w:themeColor="text1"/>
                <w:szCs w:val="24"/>
                <w14:textFill>
                  <w14:solidFill>
                    <w14:schemeClr w14:val="tx1"/>
                  </w14:solidFill>
                </w14:textFill>
              </w:rPr>
            </w:pPr>
          </w:p>
        </w:tc>
      </w:tr>
      <w:tr w14:paraId="799AB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011" w:type="dxa"/>
            <w:shd w:val="clear" w:color="auto" w:fill="auto"/>
            <w:vAlign w:val="center"/>
          </w:tcPr>
          <w:p w14:paraId="52E78D7E">
            <w:pPr>
              <w:numPr>
                <w:ilvl w:val="0"/>
                <w:numId w:val="33"/>
              </w:numPr>
              <w:tabs>
                <w:tab w:val="left" w:pos="61"/>
              </w:tabs>
              <w:adjustRightInd w:val="0"/>
              <w:snapToGrid w:val="0"/>
              <w:ind w:left="-72" w:leftChars="-30" w:firstLine="0"/>
              <w:jc w:val="center"/>
              <w:rPr>
                <w:color w:val="000000" w:themeColor="text1"/>
                <w14:textFill>
                  <w14:solidFill>
                    <w14:schemeClr w14:val="tx1"/>
                  </w14:solidFill>
                </w14:textFill>
              </w:rPr>
            </w:pPr>
          </w:p>
        </w:tc>
        <w:tc>
          <w:tcPr>
            <w:tcW w:w="2085" w:type="dxa"/>
            <w:shd w:val="clear" w:color="auto" w:fill="auto"/>
            <w:vAlign w:val="center"/>
          </w:tcPr>
          <w:p w14:paraId="54F9918C">
            <w:pPr>
              <w:tabs>
                <w:tab w:val="left" w:pos="0"/>
                <w:tab w:val="left" w:pos="56"/>
              </w:tabs>
              <w:adjustRightInd w:val="0"/>
              <w:snapToGrid w:val="0"/>
              <w:jc w:val="center"/>
              <w:rPr>
                <w:color w:val="000000" w:themeColor="text1"/>
                <w14:textFill>
                  <w14:solidFill>
                    <w14:schemeClr w14:val="tx1"/>
                  </w14:solidFill>
                </w14:textFill>
              </w:rPr>
            </w:pPr>
          </w:p>
        </w:tc>
        <w:tc>
          <w:tcPr>
            <w:tcW w:w="1230" w:type="dxa"/>
            <w:shd w:val="clear" w:color="auto" w:fill="auto"/>
            <w:vAlign w:val="center"/>
          </w:tcPr>
          <w:p w14:paraId="197457FA">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157" w:type="dxa"/>
            <w:tcBorders>
              <w:right w:val="single" w:color="auto" w:sz="4" w:space="0"/>
            </w:tcBorders>
            <w:shd w:val="clear" w:color="auto" w:fill="auto"/>
            <w:vAlign w:val="center"/>
          </w:tcPr>
          <w:p w14:paraId="19209199">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1830" w:type="dxa"/>
            <w:tcBorders>
              <w:right w:val="single" w:color="auto" w:sz="4" w:space="0"/>
            </w:tcBorders>
            <w:shd w:val="clear" w:color="auto" w:fill="auto"/>
            <w:vAlign w:val="center"/>
          </w:tcPr>
          <w:p w14:paraId="47EBC381">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2118" w:type="dxa"/>
            <w:tcBorders>
              <w:left w:val="single" w:color="auto" w:sz="4" w:space="0"/>
            </w:tcBorders>
            <w:shd w:val="clear" w:color="auto" w:fill="auto"/>
            <w:vAlign w:val="center"/>
          </w:tcPr>
          <w:p w14:paraId="65E7A105">
            <w:pPr>
              <w:spacing w:line="240" w:lineRule="atLeast"/>
              <w:ind w:left="-55" w:leftChars="-23" w:right="-74" w:rightChars="-31"/>
              <w:jc w:val="center"/>
              <w:rPr>
                <w:rFonts w:cs="宋体"/>
                <w:color w:val="000000" w:themeColor="text1"/>
                <w:szCs w:val="24"/>
                <w14:textFill>
                  <w14:solidFill>
                    <w14:schemeClr w14:val="tx1"/>
                  </w14:solidFill>
                </w14:textFill>
              </w:rPr>
            </w:pPr>
          </w:p>
        </w:tc>
      </w:tr>
      <w:tr w14:paraId="20165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011" w:type="dxa"/>
            <w:shd w:val="clear" w:color="auto" w:fill="auto"/>
            <w:vAlign w:val="center"/>
          </w:tcPr>
          <w:p w14:paraId="3FE75710">
            <w:pPr>
              <w:tabs>
                <w:tab w:val="left" w:pos="82"/>
              </w:tabs>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085" w:type="dxa"/>
            <w:shd w:val="clear" w:color="auto" w:fill="auto"/>
            <w:vAlign w:val="center"/>
          </w:tcPr>
          <w:p w14:paraId="7E8B691E">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230" w:type="dxa"/>
            <w:shd w:val="clear" w:color="auto" w:fill="auto"/>
            <w:vAlign w:val="center"/>
          </w:tcPr>
          <w:p w14:paraId="1359C17D">
            <w:pPr>
              <w:spacing w:line="240" w:lineRule="atLeast"/>
              <w:ind w:left="-55" w:leftChars="-23" w:right="-74" w:rightChars="-31"/>
              <w:jc w:val="left"/>
              <w:rPr>
                <w:rFonts w:cs="宋体"/>
                <w:color w:val="000000" w:themeColor="text1"/>
                <w:szCs w:val="24"/>
                <w14:textFill>
                  <w14:solidFill>
                    <w14:schemeClr w14:val="tx1"/>
                  </w14:solidFill>
                </w14:textFill>
              </w:rPr>
            </w:pPr>
          </w:p>
        </w:tc>
        <w:tc>
          <w:tcPr>
            <w:tcW w:w="1157" w:type="dxa"/>
            <w:tcBorders>
              <w:right w:val="single" w:color="auto" w:sz="4" w:space="0"/>
            </w:tcBorders>
            <w:shd w:val="clear" w:color="auto" w:fill="auto"/>
            <w:vAlign w:val="center"/>
          </w:tcPr>
          <w:p w14:paraId="5D339D37">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1830" w:type="dxa"/>
            <w:tcBorders>
              <w:right w:val="single" w:color="auto" w:sz="4" w:space="0"/>
            </w:tcBorders>
            <w:shd w:val="clear" w:color="auto" w:fill="auto"/>
            <w:vAlign w:val="center"/>
          </w:tcPr>
          <w:p w14:paraId="6F6001B1">
            <w:pPr>
              <w:spacing w:line="240" w:lineRule="atLeast"/>
              <w:ind w:left="-55" w:leftChars="-23" w:right="-74" w:rightChars="-31"/>
              <w:jc w:val="center"/>
              <w:rPr>
                <w:rFonts w:cs="宋体"/>
                <w:color w:val="000000" w:themeColor="text1"/>
                <w:szCs w:val="24"/>
                <w14:textFill>
                  <w14:solidFill>
                    <w14:schemeClr w14:val="tx1"/>
                  </w14:solidFill>
                </w14:textFill>
              </w:rPr>
            </w:pPr>
          </w:p>
        </w:tc>
        <w:tc>
          <w:tcPr>
            <w:tcW w:w="2118" w:type="dxa"/>
            <w:tcBorders>
              <w:left w:val="single" w:color="auto" w:sz="4" w:space="0"/>
            </w:tcBorders>
            <w:shd w:val="clear" w:color="auto" w:fill="auto"/>
            <w:vAlign w:val="center"/>
          </w:tcPr>
          <w:p w14:paraId="36003443">
            <w:pPr>
              <w:spacing w:line="240" w:lineRule="atLeast"/>
              <w:ind w:left="-55" w:leftChars="-23" w:right="-74" w:rightChars="-31"/>
              <w:jc w:val="center"/>
              <w:rPr>
                <w:rFonts w:cs="宋体"/>
                <w:color w:val="000000" w:themeColor="text1"/>
                <w:szCs w:val="24"/>
                <w14:textFill>
                  <w14:solidFill>
                    <w14:schemeClr w14:val="tx1"/>
                  </w14:solidFill>
                </w14:textFill>
              </w:rPr>
            </w:pPr>
          </w:p>
        </w:tc>
      </w:tr>
    </w:tbl>
    <w:p w14:paraId="136A40D6">
      <w:pPr>
        <w:spacing w:line="360" w:lineRule="auto"/>
        <w:ind w:left="1091" w:hanging="1091" w:hangingChars="453"/>
        <w:jc w:val="left"/>
      </w:pPr>
      <w:r>
        <w:rPr>
          <w:rFonts w:hint="eastAsia"/>
          <w:b/>
          <w:color w:val="000000" w:themeColor="text1"/>
          <w14:textFill>
            <w14:solidFill>
              <w14:schemeClr w14:val="tx1"/>
            </w14:solidFill>
          </w14:textFill>
        </w:rPr>
        <w:t>说明：</w:t>
      </w:r>
      <w:r>
        <w:t>提供详细的</w:t>
      </w:r>
      <w:r>
        <w:rPr>
          <w:rFonts w:hint="eastAsia"/>
        </w:rPr>
        <w:t>主要材料清单</w:t>
      </w:r>
      <w:r>
        <w:t>，包括</w:t>
      </w:r>
      <w:r>
        <w:rPr>
          <w:rFonts w:hint="eastAsia"/>
        </w:rPr>
        <w:t>所选材料的生产厂家、产地和品牌</w:t>
      </w:r>
      <w:r>
        <w:t>等。</w:t>
      </w:r>
    </w:p>
    <w:p w14:paraId="79294083">
      <w:pPr>
        <w:pStyle w:val="10"/>
      </w:pPr>
    </w:p>
    <w:p w14:paraId="5DC4CDA3">
      <w:pPr>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52351F19">
      <w:pPr>
        <w:rPr>
          <w:rFonts w:cs="仿宋_GB2312"/>
        </w:rPr>
      </w:pPr>
      <w:r>
        <w:rPr>
          <w:rFonts w:hint="eastAsia" w:cs="仿宋_GB2312"/>
        </w:rPr>
        <w:t>日      期：   年    月    日</w:t>
      </w:r>
    </w:p>
    <w:p w14:paraId="401F40DE">
      <w:pPr>
        <w:pStyle w:val="10"/>
        <w:numPr>
          <w:ilvl w:val="0"/>
          <w:numId w:val="0"/>
        </w:numPr>
        <w:jc w:val="center"/>
      </w:pPr>
      <w:r>
        <w:rPr>
          <w:color w:val="000000" w:themeColor="text1"/>
          <w:szCs w:val="24"/>
          <w14:textFill>
            <w14:solidFill>
              <w14:schemeClr w14:val="tx1"/>
            </w14:solidFill>
          </w14:textFill>
        </w:rPr>
        <w:br w:type="page"/>
      </w:r>
    </w:p>
    <w:p w14:paraId="5893D094">
      <w:pPr>
        <w:ind w:firstLine="482" w:firstLineChars="200"/>
        <w:rPr>
          <w:rFonts w:hint="eastAsia" w:cs="仿宋_GB2312"/>
        </w:rPr>
      </w:pPr>
      <w:r>
        <w:rPr>
          <w:rFonts w:hint="eastAsia" w:cs="仿宋_GB2312"/>
          <w:b/>
          <w:bCs/>
          <w:lang w:val="en-US" w:eastAsia="zh-CN"/>
        </w:rPr>
        <w:t>2.</w:t>
      </w:r>
      <w:r>
        <w:rPr>
          <w:rFonts w:hint="eastAsia" w:cs="仿宋_GB2312"/>
        </w:rPr>
        <w:t>磋商文件要求供应商须提交的其它技术资料；</w:t>
      </w:r>
    </w:p>
    <w:p w14:paraId="6DCFC800">
      <w:pPr>
        <w:ind w:firstLine="482" w:firstLineChars="200"/>
        <w:rPr>
          <w:rFonts w:cs="仿宋_GB2312"/>
        </w:rPr>
      </w:pPr>
      <w:r>
        <w:rPr>
          <w:rFonts w:hint="eastAsia" w:cs="仿宋_GB2312"/>
          <w:b/>
          <w:bCs/>
          <w:lang w:val="en-US" w:eastAsia="zh-CN"/>
        </w:rPr>
        <w:t>3</w:t>
      </w:r>
      <w:r>
        <w:rPr>
          <w:rFonts w:hint="eastAsia" w:cs="仿宋_GB2312"/>
          <w:b/>
          <w:bCs/>
        </w:rPr>
        <w:t>.</w:t>
      </w:r>
      <w:r>
        <w:rPr>
          <w:rFonts w:hint="eastAsia" w:cs="仿宋_GB2312"/>
        </w:rPr>
        <w:t>供应商认为需加以说明的其它内容。</w:t>
      </w:r>
    </w:p>
    <w:p w14:paraId="46DBD969">
      <w:r>
        <w:br w:type="page"/>
      </w:r>
    </w:p>
    <w:p w14:paraId="3F003CB6">
      <w:pPr>
        <w:pStyle w:val="3"/>
        <w:numPr>
          <w:ilvl w:val="0"/>
          <w:numId w:val="25"/>
        </w:numPr>
      </w:pPr>
      <w:bookmarkStart w:id="652" w:name="_Toc19171"/>
      <w:bookmarkStart w:id="653" w:name="_Toc156490372"/>
      <w:bookmarkStart w:id="654" w:name="_Toc163493664"/>
      <w:bookmarkStart w:id="655" w:name="_Toc17852"/>
      <w:bookmarkStart w:id="656" w:name="_Toc1113"/>
      <w:r>
        <w:rPr>
          <w:rFonts w:hint="eastAsia"/>
        </w:rPr>
        <w:t>落实政府采购政策相关证明文件</w:t>
      </w:r>
      <w:bookmarkEnd w:id="652"/>
      <w:bookmarkEnd w:id="653"/>
      <w:bookmarkEnd w:id="654"/>
      <w:bookmarkEnd w:id="655"/>
      <w:bookmarkEnd w:id="656"/>
    </w:p>
    <w:p w14:paraId="24F31E53">
      <w:pPr>
        <w:pStyle w:val="4"/>
        <w:numPr>
          <w:ilvl w:val="0"/>
          <w:numId w:val="34"/>
        </w:numPr>
        <w:ind w:left="420" w:hanging="420"/>
        <w:rPr>
          <w:rFonts w:cs="仿宋_GB2312"/>
          <w:sz w:val="28"/>
          <w:szCs w:val="28"/>
        </w:rPr>
      </w:pPr>
      <w:bookmarkStart w:id="657" w:name="_Toc163493665"/>
      <w:bookmarkStart w:id="658" w:name="_Toc161600402"/>
      <w:bookmarkStart w:id="659" w:name="_Toc3966"/>
      <w:bookmarkStart w:id="660" w:name="_Toc32220"/>
      <w:bookmarkStart w:id="661" w:name="_Hlk161703009"/>
      <w:r>
        <w:rPr>
          <w:rFonts w:hint="eastAsia" w:cs="仿宋_GB2312"/>
          <w:sz w:val="28"/>
          <w:szCs w:val="28"/>
        </w:rPr>
        <w:t>节能环保产品清单及证明材料（如适用）</w:t>
      </w:r>
      <w:bookmarkEnd w:id="657"/>
      <w:bookmarkEnd w:id="658"/>
      <w:bookmarkEnd w:id="659"/>
      <w:bookmarkEnd w:id="660"/>
    </w:p>
    <w:p w14:paraId="2068F79A">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728CC767">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6"/>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6904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A6C7C5">
            <w:pPr>
              <w:pStyle w:val="43"/>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10C3C253">
            <w:pPr>
              <w:pStyle w:val="43"/>
            </w:pPr>
            <w:r>
              <w:rPr>
                <w:rFonts w:hint="eastAsia"/>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14:paraId="10773EAB">
            <w:pPr>
              <w:pStyle w:val="43"/>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73E6909B">
            <w:pPr>
              <w:pStyle w:val="43"/>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272CD3FB">
            <w:pPr>
              <w:pStyle w:val="43"/>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5741A0AF">
            <w:pPr>
              <w:pStyle w:val="43"/>
            </w:pPr>
            <w:r>
              <w:rPr>
                <w:rFonts w:hint="eastAsia"/>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4DDC1E17">
            <w:pPr>
              <w:pStyle w:val="43"/>
            </w:pPr>
            <w:r>
              <w:rPr>
                <w:rFonts w:hint="eastAsia"/>
              </w:rPr>
              <w:t>单价</w:t>
            </w:r>
          </w:p>
          <w:p w14:paraId="44E73437">
            <w:pPr>
              <w:pStyle w:val="43"/>
            </w:pPr>
            <w:r>
              <w:rPr>
                <w:rFonts w:hint="eastAsia"/>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7F2F6B21">
            <w:pPr>
              <w:pStyle w:val="43"/>
            </w:pPr>
            <w:r>
              <w:rPr>
                <w:rFonts w:hint="eastAsia"/>
              </w:rPr>
              <w:t>总价</w:t>
            </w:r>
          </w:p>
          <w:p w14:paraId="251B151A">
            <w:pPr>
              <w:pStyle w:val="43"/>
            </w:pPr>
            <w:r>
              <w:rPr>
                <w:rFonts w:hint="eastAsia"/>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6D1CBE5F">
            <w:pPr>
              <w:pStyle w:val="43"/>
            </w:pPr>
            <w:r>
              <w:rPr>
                <w:rFonts w:hint="eastAsia"/>
              </w:rPr>
              <w:t>属强制采购或优先采购</w:t>
            </w:r>
          </w:p>
        </w:tc>
      </w:tr>
      <w:tr w14:paraId="09A4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D5F7A7F">
            <w:pPr>
              <w:pStyle w:val="43"/>
              <w:numPr>
                <w:ilvl w:val="0"/>
                <w:numId w:val="35"/>
              </w:numPr>
            </w:pPr>
          </w:p>
        </w:tc>
        <w:tc>
          <w:tcPr>
            <w:tcW w:w="1518" w:type="dxa"/>
            <w:tcBorders>
              <w:top w:val="single" w:color="auto" w:sz="4" w:space="0"/>
              <w:left w:val="single" w:color="auto" w:sz="4" w:space="0"/>
              <w:bottom w:val="single" w:color="auto" w:sz="4" w:space="0"/>
              <w:right w:val="single" w:color="auto" w:sz="4" w:space="0"/>
            </w:tcBorders>
          </w:tcPr>
          <w:p w14:paraId="243A0BC0">
            <w:pPr>
              <w:pStyle w:val="43"/>
            </w:pPr>
          </w:p>
        </w:tc>
        <w:tc>
          <w:tcPr>
            <w:tcW w:w="993" w:type="dxa"/>
            <w:tcBorders>
              <w:top w:val="single" w:color="auto" w:sz="4" w:space="0"/>
              <w:left w:val="single" w:color="auto" w:sz="4" w:space="0"/>
              <w:bottom w:val="single" w:color="auto" w:sz="4" w:space="0"/>
              <w:right w:val="single" w:color="auto" w:sz="4" w:space="0"/>
            </w:tcBorders>
            <w:vAlign w:val="center"/>
          </w:tcPr>
          <w:p w14:paraId="7FF1F467">
            <w:pPr>
              <w:pStyle w:val="43"/>
            </w:pPr>
          </w:p>
        </w:tc>
        <w:tc>
          <w:tcPr>
            <w:tcW w:w="991" w:type="dxa"/>
            <w:tcBorders>
              <w:top w:val="single" w:color="auto" w:sz="4" w:space="0"/>
              <w:left w:val="single" w:color="auto" w:sz="4" w:space="0"/>
              <w:bottom w:val="single" w:color="auto" w:sz="4" w:space="0"/>
              <w:right w:val="single" w:color="auto" w:sz="4" w:space="0"/>
            </w:tcBorders>
            <w:vAlign w:val="center"/>
          </w:tcPr>
          <w:p w14:paraId="1354FC89">
            <w:pPr>
              <w:pStyle w:val="43"/>
            </w:pPr>
          </w:p>
        </w:tc>
        <w:tc>
          <w:tcPr>
            <w:tcW w:w="698" w:type="dxa"/>
            <w:tcBorders>
              <w:top w:val="single" w:color="auto" w:sz="4" w:space="0"/>
              <w:left w:val="single" w:color="auto" w:sz="4" w:space="0"/>
              <w:bottom w:val="single" w:color="auto" w:sz="4" w:space="0"/>
              <w:right w:val="single" w:color="auto" w:sz="4" w:space="0"/>
            </w:tcBorders>
            <w:vAlign w:val="center"/>
          </w:tcPr>
          <w:p w14:paraId="458E0D19">
            <w:pPr>
              <w:pStyle w:val="43"/>
            </w:pPr>
          </w:p>
        </w:tc>
        <w:tc>
          <w:tcPr>
            <w:tcW w:w="708" w:type="dxa"/>
            <w:tcBorders>
              <w:top w:val="single" w:color="auto" w:sz="4" w:space="0"/>
              <w:left w:val="single" w:color="auto" w:sz="4" w:space="0"/>
              <w:bottom w:val="single" w:color="auto" w:sz="4" w:space="0"/>
              <w:right w:val="single" w:color="auto" w:sz="4" w:space="0"/>
            </w:tcBorders>
            <w:vAlign w:val="center"/>
          </w:tcPr>
          <w:p w14:paraId="5B420F1E">
            <w:pPr>
              <w:pStyle w:val="43"/>
            </w:pPr>
          </w:p>
        </w:tc>
        <w:tc>
          <w:tcPr>
            <w:tcW w:w="1134" w:type="dxa"/>
            <w:tcBorders>
              <w:top w:val="single" w:color="auto" w:sz="4" w:space="0"/>
              <w:left w:val="single" w:color="auto" w:sz="4" w:space="0"/>
              <w:bottom w:val="single" w:color="auto" w:sz="4" w:space="0"/>
              <w:right w:val="single" w:color="auto" w:sz="4" w:space="0"/>
            </w:tcBorders>
            <w:vAlign w:val="center"/>
          </w:tcPr>
          <w:p w14:paraId="4E1796FC">
            <w:pPr>
              <w:pStyle w:val="43"/>
            </w:pPr>
          </w:p>
        </w:tc>
        <w:tc>
          <w:tcPr>
            <w:tcW w:w="1097" w:type="dxa"/>
            <w:tcBorders>
              <w:top w:val="single" w:color="auto" w:sz="4" w:space="0"/>
              <w:left w:val="single" w:color="auto" w:sz="4" w:space="0"/>
              <w:bottom w:val="single" w:color="auto" w:sz="4" w:space="0"/>
              <w:right w:val="single" w:color="auto" w:sz="4" w:space="0"/>
            </w:tcBorders>
            <w:vAlign w:val="center"/>
          </w:tcPr>
          <w:p w14:paraId="4A3AB4E6">
            <w:pPr>
              <w:pStyle w:val="43"/>
            </w:pPr>
          </w:p>
        </w:tc>
        <w:tc>
          <w:tcPr>
            <w:tcW w:w="1050" w:type="dxa"/>
            <w:tcBorders>
              <w:top w:val="single" w:color="auto" w:sz="4" w:space="0"/>
              <w:left w:val="single" w:color="auto" w:sz="4" w:space="0"/>
              <w:bottom w:val="single" w:color="auto" w:sz="4" w:space="0"/>
              <w:right w:val="single" w:color="auto" w:sz="4" w:space="0"/>
            </w:tcBorders>
            <w:vAlign w:val="center"/>
          </w:tcPr>
          <w:p w14:paraId="5F51D57B">
            <w:pPr>
              <w:pStyle w:val="43"/>
            </w:pPr>
          </w:p>
        </w:tc>
      </w:tr>
      <w:tr w14:paraId="6ADE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4C0AEC">
            <w:pPr>
              <w:pStyle w:val="43"/>
              <w:numPr>
                <w:ilvl w:val="0"/>
                <w:numId w:val="35"/>
              </w:numPr>
            </w:pPr>
          </w:p>
        </w:tc>
        <w:tc>
          <w:tcPr>
            <w:tcW w:w="1518" w:type="dxa"/>
            <w:tcBorders>
              <w:top w:val="single" w:color="auto" w:sz="4" w:space="0"/>
              <w:left w:val="single" w:color="auto" w:sz="4" w:space="0"/>
              <w:bottom w:val="single" w:color="auto" w:sz="4" w:space="0"/>
              <w:right w:val="single" w:color="auto" w:sz="4" w:space="0"/>
            </w:tcBorders>
          </w:tcPr>
          <w:p w14:paraId="624F5E49">
            <w:pPr>
              <w:pStyle w:val="43"/>
            </w:pPr>
          </w:p>
        </w:tc>
        <w:tc>
          <w:tcPr>
            <w:tcW w:w="993" w:type="dxa"/>
            <w:tcBorders>
              <w:top w:val="single" w:color="auto" w:sz="4" w:space="0"/>
              <w:left w:val="single" w:color="auto" w:sz="4" w:space="0"/>
              <w:bottom w:val="single" w:color="auto" w:sz="4" w:space="0"/>
              <w:right w:val="single" w:color="auto" w:sz="4" w:space="0"/>
            </w:tcBorders>
            <w:vAlign w:val="center"/>
          </w:tcPr>
          <w:p w14:paraId="756B21B8">
            <w:pPr>
              <w:pStyle w:val="43"/>
            </w:pPr>
          </w:p>
        </w:tc>
        <w:tc>
          <w:tcPr>
            <w:tcW w:w="991" w:type="dxa"/>
            <w:tcBorders>
              <w:top w:val="single" w:color="auto" w:sz="4" w:space="0"/>
              <w:left w:val="single" w:color="auto" w:sz="4" w:space="0"/>
              <w:bottom w:val="single" w:color="auto" w:sz="4" w:space="0"/>
              <w:right w:val="single" w:color="auto" w:sz="4" w:space="0"/>
            </w:tcBorders>
            <w:vAlign w:val="center"/>
          </w:tcPr>
          <w:p w14:paraId="763B5C81">
            <w:pPr>
              <w:pStyle w:val="43"/>
            </w:pPr>
          </w:p>
        </w:tc>
        <w:tc>
          <w:tcPr>
            <w:tcW w:w="698" w:type="dxa"/>
            <w:tcBorders>
              <w:top w:val="single" w:color="auto" w:sz="4" w:space="0"/>
              <w:left w:val="single" w:color="auto" w:sz="4" w:space="0"/>
              <w:bottom w:val="single" w:color="auto" w:sz="4" w:space="0"/>
              <w:right w:val="single" w:color="auto" w:sz="4" w:space="0"/>
            </w:tcBorders>
            <w:vAlign w:val="center"/>
          </w:tcPr>
          <w:p w14:paraId="432EB56F">
            <w:pPr>
              <w:pStyle w:val="43"/>
            </w:pPr>
          </w:p>
        </w:tc>
        <w:tc>
          <w:tcPr>
            <w:tcW w:w="708" w:type="dxa"/>
            <w:tcBorders>
              <w:top w:val="single" w:color="auto" w:sz="4" w:space="0"/>
              <w:left w:val="single" w:color="auto" w:sz="4" w:space="0"/>
              <w:bottom w:val="single" w:color="auto" w:sz="4" w:space="0"/>
              <w:right w:val="single" w:color="auto" w:sz="4" w:space="0"/>
            </w:tcBorders>
            <w:vAlign w:val="center"/>
          </w:tcPr>
          <w:p w14:paraId="584EB711">
            <w:pPr>
              <w:pStyle w:val="43"/>
            </w:pPr>
          </w:p>
        </w:tc>
        <w:tc>
          <w:tcPr>
            <w:tcW w:w="1134" w:type="dxa"/>
            <w:tcBorders>
              <w:top w:val="single" w:color="auto" w:sz="4" w:space="0"/>
              <w:left w:val="single" w:color="auto" w:sz="4" w:space="0"/>
              <w:bottom w:val="single" w:color="auto" w:sz="4" w:space="0"/>
              <w:right w:val="single" w:color="auto" w:sz="4" w:space="0"/>
            </w:tcBorders>
            <w:vAlign w:val="center"/>
          </w:tcPr>
          <w:p w14:paraId="249FEEAC">
            <w:pPr>
              <w:pStyle w:val="43"/>
            </w:pPr>
          </w:p>
        </w:tc>
        <w:tc>
          <w:tcPr>
            <w:tcW w:w="1097" w:type="dxa"/>
            <w:tcBorders>
              <w:top w:val="single" w:color="auto" w:sz="4" w:space="0"/>
              <w:left w:val="single" w:color="auto" w:sz="4" w:space="0"/>
              <w:bottom w:val="single" w:color="auto" w:sz="4" w:space="0"/>
              <w:right w:val="single" w:color="auto" w:sz="4" w:space="0"/>
            </w:tcBorders>
            <w:vAlign w:val="center"/>
          </w:tcPr>
          <w:p w14:paraId="2DA0C1CD">
            <w:pPr>
              <w:pStyle w:val="43"/>
            </w:pPr>
          </w:p>
        </w:tc>
        <w:tc>
          <w:tcPr>
            <w:tcW w:w="1050" w:type="dxa"/>
            <w:tcBorders>
              <w:top w:val="single" w:color="auto" w:sz="4" w:space="0"/>
              <w:left w:val="single" w:color="auto" w:sz="4" w:space="0"/>
              <w:bottom w:val="single" w:color="auto" w:sz="4" w:space="0"/>
              <w:right w:val="single" w:color="auto" w:sz="4" w:space="0"/>
            </w:tcBorders>
            <w:vAlign w:val="center"/>
          </w:tcPr>
          <w:p w14:paraId="562F6601">
            <w:pPr>
              <w:pStyle w:val="43"/>
            </w:pPr>
          </w:p>
        </w:tc>
      </w:tr>
      <w:tr w14:paraId="1D2F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87D6950">
            <w:pPr>
              <w:pStyle w:val="43"/>
              <w:numPr>
                <w:ilvl w:val="0"/>
                <w:numId w:val="35"/>
              </w:numPr>
            </w:pPr>
          </w:p>
        </w:tc>
        <w:tc>
          <w:tcPr>
            <w:tcW w:w="1518" w:type="dxa"/>
            <w:tcBorders>
              <w:top w:val="single" w:color="auto" w:sz="4" w:space="0"/>
              <w:left w:val="single" w:color="auto" w:sz="4" w:space="0"/>
              <w:bottom w:val="single" w:color="auto" w:sz="4" w:space="0"/>
              <w:right w:val="single" w:color="auto" w:sz="4" w:space="0"/>
            </w:tcBorders>
            <w:vAlign w:val="center"/>
          </w:tcPr>
          <w:p w14:paraId="41D5F09A">
            <w:pPr>
              <w:pStyle w:val="43"/>
            </w:pPr>
            <w:r>
              <w:rPr>
                <w:rFonts w:hint="eastAsia"/>
              </w:rPr>
              <w:t>……</w:t>
            </w:r>
          </w:p>
        </w:tc>
        <w:tc>
          <w:tcPr>
            <w:tcW w:w="993" w:type="dxa"/>
            <w:tcBorders>
              <w:top w:val="single" w:color="auto" w:sz="4" w:space="0"/>
              <w:left w:val="single" w:color="auto" w:sz="4" w:space="0"/>
              <w:bottom w:val="single" w:color="auto" w:sz="4" w:space="0"/>
              <w:right w:val="single" w:color="auto" w:sz="4" w:space="0"/>
            </w:tcBorders>
            <w:vAlign w:val="center"/>
          </w:tcPr>
          <w:p w14:paraId="5D6B6278">
            <w:pPr>
              <w:pStyle w:val="43"/>
            </w:pPr>
          </w:p>
        </w:tc>
        <w:tc>
          <w:tcPr>
            <w:tcW w:w="991" w:type="dxa"/>
            <w:tcBorders>
              <w:top w:val="single" w:color="auto" w:sz="4" w:space="0"/>
              <w:left w:val="single" w:color="auto" w:sz="4" w:space="0"/>
              <w:bottom w:val="single" w:color="auto" w:sz="4" w:space="0"/>
              <w:right w:val="single" w:color="auto" w:sz="4" w:space="0"/>
            </w:tcBorders>
            <w:vAlign w:val="center"/>
          </w:tcPr>
          <w:p w14:paraId="534DFEED">
            <w:pPr>
              <w:pStyle w:val="43"/>
            </w:pPr>
          </w:p>
        </w:tc>
        <w:tc>
          <w:tcPr>
            <w:tcW w:w="698" w:type="dxa"/>
            <w:tcBorders>
              <w:top w:val="single" w:color="auto" w:sz="4" w:space="0"/>
              <w:left w:val="single" w:color="auto" w:sz="4" w:space="0"/>
              <w:bottom w:val="single" w:color="auto" w:sz="4" w:space="0"/>
              <w:right w:val="single" w:color="auto" w:sz="4" w:space="0"/>
            </w:tcBorders>
            <w:vAlign w:val="center"/>
          </w:tcPr>
          <w:p w14:paraId="7713372A">
            <w:pPr>
              <w:pStyle w:val="43"/>
            </w:pPr>
          </w:p>
        </w:tc>
        <w:tc>
          <w:tcPr>
            <w:tcW w:w="708" w:type="dxa"/>
            <w:tcBorders>
              <w:top w:val="single" w:color="auto" w:sz="4" w:space="0"/>
              <w:left w:val="single" w:color="auto" w:sz="4" w:space="0"/>
              <w:bottom w:val="single" w:color="auto" w:sz="4" w:space="0"/>
              <w:right w:val="single" w:color="auto" w:sz="4" w:space="0"/>
            </w:tcBorders>
            <w:vAlign w:val="center"/>
          </w:tcPr>
          <w:p w14:paraId="55E9B999">
            <w:pPr>
              <w:pStyle w:val="43"/>
            </w:pPr>
          </w:p>
        </w:tc>
        <w:tc>
          <w:tcPr>
            <w:tcW w:w="1134" w:type="dxa"/>
            <w:tcBorders>
              <w:top w:val="single" w:color="auto" w:sz="4" w:space="0"/>
              <w:left w:val="single" w:color="auto" w:sz="4" w:space="0"/>
              <w:bottom w:val="single" w:color="auto" w:sz="4" w:space="0"/>
              <w:right w:val="single" w:color="auto" w:sz="4" w:space="0"/>
            </w:tcBorders>
            <w:vAlign w:val="center"/>
          </w:tcPr>
          <w:p w14:paraId="4977D46D">
            <w:pPr>
              <w:pStyle w:val="43"/>
            </w:pPr>
          </w:p>
        </w:tc>
        <w:tc>
          <w:tcPr>
            <w:tcW w:w="1097" w:type="dxa"/>
            <w:tcBorders>
              <w:top w:val="single" w:color="auto" w:sz="4" w:space="0"/>
              <w:left w:val="single" w:color="auto" w:sz="4" w:space="0"/>
              <w:bottom w:val="single" w:color="auto" w:sz="4" w:space="0"/>
              <w:right w:val="single" w:color="auto" w:sz="4" w:space="0"/>
            </w:tcBorders>
            <w:vAlign w:val="center"/>
          </w:tcPr>
          <w:p w14:paraId="752EA473">
            <w:pPr>
              <w:pStyle w:val="43"/>
            </w:pPr>
          </w:p>
        </w:tc>
        <w:tc>
          <w:tcPr>
            <w:tcW w:w="1050" w:type="dxa"/>
            <w:tcBorders>
              <w:top w:val="single" w:color="auto" w:sz="4" w:space="0"/>
              <w:left w:val="single" w:color="auto" w:sz="4" w:space="0"/>
              <w:bottom w:val="single" w:color="auto" w:sz="4" w:space="0"/>
              <w:right w:val="single" w:color="auto" w:sz="4" w:space="0"/>
            </w:tcBorders>
            <w:vAlign w:val="center"/>
          </w:tcPr>
          <w:p w14:paraId="0F9C3BE7">
            <w:pPr>
              <w:pStyle w:val="43"/>
            </w:pPr>
          </w:p>
        </w:tc>
      </w:tr>
    </w:tbl>
    <w:p w14:paraId="74C0433B">
      <w:pPr>
        <w:spacing w:line="300" w:lineRule="auto"/>
        <w:rPr>
          <w:rFonts w:ascii="Arial" w:hAnsi="Arial" w:cs="Arial"/>
          <w:szCs w:val="21"/>
        </w:rPr>
      </w:pPr>
    </w:p>
    <w:p w14:paraId="19F6F9B7">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6"/>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7AFD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4E46B1">
            <w:pPr>
              <w:pStyle w:val="43"/>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007DDDD3">
            <w:pPr>
              <w:pStyle w:val="43"/>
            </w:pPr>
            <w:r>
              <w:rPr>
                <w:rFonts w:hint="eastAsia"/>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14:paraId="3D3B103D">
            <w:pPr>
              <w:pStyle w:val="43"/>
            </w:pPr>
            <w:r>
              <w:rPr>
                <w:rFonts w:hint="eastAsia"/>
              </w:rPr>
              <w:t>制造商</w:t>
            </w:r>
          </w:p>
          <w:p w14:paraId="5F5BB898">
            <w:pPr>
              <w:pStyle w:val="43"/>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40EED21A">
            <w:pPr>
              <w:pStyle w:val="43"/>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7C33E31E">
            <w:pPr>
              <w:pStyle w:val="43"/>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2D97F328">
            <w:pPr>
              <w:pStyle w:val="43"/>
            </w:pPr>
            <w:r>
              <w:rPr>
                <w:rFonts w:hint="eastAsia"/>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068496D7">
            <w:pPr>
              <w:pStyle w:val="43"/>
            </w:pPr>
            <w:r>
              <w:rPr>
                <w:rFonts w:hint="eastAsia"/>
              </w:rPr>
              <w:t>单价</w:t>
            </w:r>
          </w:p>
          <w:p w14:paraId="062B83B4">
            <w:pPr>
              <w:pStyle w:val="43"/>
            </w:pPr>
            <w:r>
              <w:rPr>
                <w:rFonts w:hint="eastAsia"/>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7F0B607A">
            <w:pPr>
              <w:pStyle w:val="43"/>
            </w:pPr>
            <w:r>
              <w:rPr>
                <w:rFonts w:hint="eastAsia"/>
              </w:rPr>
              <w:t>总价</w:t>
            </w:r>
          </w:p>
          <w:p w14:paraId="4B6E3D96">
            <w:pPr>
              <w:pStyle w:val="43"/>
            </w:pPr>
            <w:r>
              <w:rPr>
                <w:rFonts w:hint="eastAsia"/>
              </w:rPr>
              <w:t>（万元）</w:t>
            </w:r>
          </w:p>
        </w:tc>
      </w:tr>
      <w:tr w14:paraId="681B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3239622">
            <w:pPr>
              <w:pStyle w:val="43"/>
              <w:numPr>
                <w:ilvl w:val="0"/>
                <w:numId w:val="36"/>
              </w:numPr>
            </w:pPr>
          </w:p>
        </w:tc>
        <w:tc>
          <w:tcPr>
            <w:tcW w:w="1728" w:type="dxa"/>
            <w:tcBorders>
              <w:top w:val="single" w:color="auto" w:sz="4" w:space="0"/>
              <w:left w:val="single" w:color="auto" w:sz="4" w:space="0"/>
              <w:bottom w:val="single" w:color="auto" w:sz="4" w:space="0"/>
              <w:right w:val="single" w:color="auto" w:sz="4" w:space="0"/>
            </w:tcBorders>
          </w:tcPr>
          <w:p w14:paraId="56139747">
            <w:pPr>
              <w:pStyle w:val="43"/>
            </w:pPr>
          </w:p>
        </w:tc>
        <w:tc>
          <w:tcPr>
            <w:tcW w:w="1186" w:type="dxa"/>
            <w:tcBorders>
              <w:top w:val="single" w:color="auto" w:sz="4" w:space="0"/>
              <w:left w:val="single" w:color="auto" w:sz="4" w:space="0"/>
              <w:bottom w:val="single" w:color="auto" w:sz="4" w:space="0"/>
              <w:right w:val="single" w:color="auto" w:sz="4" w:space="0"/>
            </w:tcBorders>
            <w:vAlign w:val="center"/>
          </w:tcPr>
          <w:p w14:paraId="753580E0">
            <w:pPr>
              <w:pStyle w:val="43"/>
            </w:pPr>
          </w:p>
        </w:tc>
        <w:tc>
          <w:tcPr>
            <w:tcW w:w="848" w:type="dxa"/>
            <w:tcBorders>
              <w:top w:val="single" w:color="auto" w:sz="4" w:space="0"/>
              <w:left w:val="single" w:color="auto" w:sz="4" w:space="0"/>
              <w:bottom w:val="single" w:color="auto" w:sz="4" w:space="0"/>
              <w:right w:val="single" w:color="auto" w:sz="4" w:space="0"/>
            </w:tcBorders>
            <w:vAlign w:val="center"/>
          </w:tcPr>
          <w:p w14:paraId="023791EB">
            <w:pPr>
              <w:pStyle w:val="43"/>
            </w:pPr>
          </w:p>
        </w:tc>
        <w:tc>
          <w:tcPr>
            <w:tcW w:w="848" w:type="dxa"/>
            <w:tcBorders>
              <w:top w:val="single" w:color="auto" w:sz="4" w:space="0"/>
              <w:left w:val="single" w:color="auto" w:sz="4" w:space="0"/>
              <w:bottom w:val="single" w:color="auto" w:sz="4" w:space="0"/>
              <w:right w:val="single" w:color="auto" w:sz="4" w:space="0"/>
            </w:tcBorders>
            <w:vAlign w:val="center"/>
          </w:tcPr>
          <w:p w14:paraId="5AEC0686">
            <w:pPr>
              <w:pStyle w:val="43"/>
            </w:pPr>
          </w:p>
        </w:tc>
        <w:tc>
          <w:tcPr>
            <w:tcW w:w="945" w:type="dxa"/>
            <w:tcBorders>
              <w:top w:val="single" w:color="auto" w:sz="4" w:space="0"/>
              <w:left w:val="single" w:color="auto" w:sz="4" w:space="0"/>
              <w:bottom w:val="single" w:color="auto" w:sz="4" w:space="0"/>
              <w:right w:val="single" w:color="auto" w:sz="4" w:space="0"/>
            </w:tcBorders>
            <w:vAlign w:val="center"/>
          </w:tcPr>
          <w:p w14:paraId="2AC911E1">
            <w:pPr>
              <w:pStyle w:val="43"/>
            </w:pPr>
          </w:p>
        </w:tc>
        <w:tc>
          <w:tcPr>
            <w:tcW w:w="1450" w:type="dxa"/>
            <w:tcBorders>
              <w:top w:val="single" w:color="auto" w:sz="4" w:space="0"/>
              <w:left w:val="single" w:color="auto" w:sz="4" w:space="0"/>
              <w:bottom w:val="single" w:color="auto" w:sz="4" w:space="0"/>
              <w:right w:val="single" w:color="auto" w:sz="4" w:space="0"/>
            </w:tcBorders>
            <w:vAlign w:val="center"/>
          </w:tcPr>
          <w:p w14:paraId="64FB7BCD">
            <w:pPr>
              <w:pStyle w:val="43"/>
            </w:pPr>
          </w:p>
        </w:tc>
        <w:tc>
          <w:tcPr>
            <w:tcW w:w="1165" w:type="dxa"/>
            <w:tcBorders>
              <w:top w:val="single" w:color="auto" w:sz="4" w:space="0"/>
              <w:left w:val="single" w:color="auto" w:sz="4" w:space="0"/>
              <w:bottom w:val="single" w:color="auto" w:sz="4" w:space="0"/>
              <w:right w:val="single" w:color="auto" w:sz="4" w:space="0"/>
            </w:tcBorders>
            <w:vAlign w:val="center"/>
          </w:tcPr>
          <w:p w14:paraId="556C60CA">
            <w:pPr>
              <w:pStyle w:val="43"/>
            </w:pPr>
          </w:p>
        </w:tc>
      </w:tr>
      <w:tr w14:paraId="24A9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B7039A0">
            <w:pPr>
              <w:pStyle w:val="43"/>
              <w:numPr>
                <w:ilvl w:val="0"/>
                <w:numId w:val="36"/>
              </w:numPr>
            </w:pPr>
          </w:p>
        </w:tc>
        <w:tc>
          <w:tcPr>
            <w:tcW w:w="1728" w:type="dxa"/>
            <w:tcBorders>
              <w:top w:val="single" w:color="auto" w:sz="4" w:space="0"/>
              <w:left w:val="single" w:color="auto" w:sz="4" w:space="0"/>
              <w:bottom w:val="single" w:color="auto" w:sz="4" w:space="0"/>
              <w:right w:val="single" w:color="auto" w:sz="4" w:space="0"/>
            </w:tcBorders>
          </w:tcPr>
          <w:p w14:paraId="7EE666DA">
            <w:pPr>
              <w:pStyle w:val="43"/>
            </w:pPr>
          </w:p>
        </w:tc>
        <w:tc>
          <w:tcPr>
            <w:tcW w:w="1186" w:type="dxa"/>
            <w:tcBorders>
              <w:top w:val="single" w:color="auto" w:sz="4" w:space="0"/>
              <w:left w:val="single" w:color="auto" w:sz="4" w:space="0"/>
              <w:bottom w:val="single" w:color="auto" w:sz="4" w:space="0"/>
              <w:right w:val="single" w:color="auto" w:sz="4" w:space="0"/>
            </w:tcBorders>
            <w:vAlign w:val="center"/>
          </w:tcPr>
          <w:p w14:paraId="328D90F3">
            <w:pPr>
              <w:pStyle w:val="43"/>
            </w:pPr>
          </w:p>
        </w:tc>
        <w:tc>
          <w:tcPr>
            <w:tcW w:w="848" w:type="dxa"/>
            <w:tcBorders>
              <w:top w:val="single" w:color="auto" w:sz="4" w:space="0"/>
              <w:left w:val="single" w:color="auto" w:sz="4" w:space="0"/>
              <w:bottom w:val="single" w:color="auto" w:sz="4" w:space="0"/>
              <w:right w:val="single" w:color="auto" w:sz="4" w:space="0"/>
            </w:tcBorders>
            <w:vAlign w:val="center"/>
          </w:tcPr>
          <w:p w14:paraId="689DE635">
            <w:pPr>
              <w:pStyle w:val="43"/>
            </w:pPr>
          </w:p>
        </w:tc>
        <w:tc>
          <w:tcPr>
            <w:tcW w:w="848" w:type="dxa"/>
            <w:tcBorders>
              <w:top w:val="single" w:color="auto" w:sz="4" w:space="0"/>
              <w:left w:val="single" w:color="auto" w:sz="4" w:space="0"/>
              <w:bottom w:val="single" w:color="auto" w:sz="4" w:space="0"/>
              <w:right w:val="single" w:color="auto" w:sz="4" w:space="0"/>
            </w:tcBorders>
            <w:vAlign w:val="center"/>
          </w:tcPr>
          <w:p w14:paraId="4D4B2599">
            <w:pPr>
              <w:pStyle w:val="43"/>
            </w:pPr>
          </w:p>
        </w:tc>
        <w:tc>
          <w:tcPr>
            <w:tcW w:w="945" w:type="dxa"/>
            <w:tcBorders>
              <w:top w:val="single" w:color="auto" w:sz="4" w:space="0"/>
              <w:left w:val="single" w:color="auto" w:sz="4" w:space="0"/>
              <w:bottom w:val="single" w:color="auto" w:sz="4" w:space="0"/>
              <w:right w:val="single" w:color="auto" w:sz="4" w:space="0"/>
            </w:tcBorders>
            <w:vAlign w:val="center"/>
          </w:tcPr>
          <w:p w14:paraId="684B4693">
            <w:pPr>
              <w:pStyle w:val="43"/>
            </w:pPr>
          </w:p>
        </w:tc>
        <w:tc>
          <w:tcPr>
            <w:tcW w:w="1450" w:type="dxa"/>
            <w:tcBorders>
              <w:top w:val="single" w:color="auto" w:sz="4" w:space="0"/>
              <w:left w:val="single" w:color="auto" w:sz="4" w:space="0"/>
              <w:bottom w:val="single" w:color="auto" w:sz="4" w:space="0"/>
              <w:right w:val="single" w:color="auto" w:sz="4" w:space="0"/>
            </w:tcBorders>
            <w:vAlign w:val="center"/>
          </w:tcPr>
          <w:p w14:paraId="194B864D">
            <w:pPr>
              <w:pStyle w:val="43"/>
            </w:pPr>
          </w:p>
        </w:tc>
        <w:tc>
          <w:tcPr>
            <w:tcW w:w="1165" w:type="dxa"/>
            <w:tcBorders>
              <w:top w:val="single" w:color="auto" w:sz="4" w:space="0"/>
              <w:left w:val="single" w:color="auto" w:sz="4" w:space="0"/>
              <w:bottom w:val="single" w:color="auto" w:sz="4" w:space="0"/>
              <w:right w:val="single" w:color="auto" w:sz="4" w:space="0"/>
            </w:tcBorders>
            <w:vAlign w:val="center"/>
          </w:tcPr>
          <w:p w14:paraId="1E2AA075">
            <w:pPr>
              <w:pStyle w:val="43"/>
            </w:pPr>
          </w:p>
        </w:tc>
      </w:tr>
      <w:tr w14:paraId="2B4D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01D997B">
            <w:pPr>
              <w:pStyle w:val="43"/>
              <w:numPr>
                <w:ilvl w:val="0"/>
                <w:numId w:val="36"/>
              </w:numPr>
            </w:pPr>
          </w:p>
        </w:tc>
        <w:tc>
          <w:tcPr>
            <w:tcW w:w="1728" w:type="dxa"/>
            <w:tcBorders>
              <w:top w:val="single" w:color="auto" w:sz="4" w:space="0"/>
              <w:left w:val="single" w:color="auto" w:sz="4" w:space="0"/>
              <w:bottom w:val="single" w:color="auto" w:sz="4" w:space="0"/>
              <w:right w:val="single" w:color="auto" w:sz="4" w:space="0"/>
            </w:tcBorders>
          </w:tcPr>
          <w:p w14:paraId="68C64019">
            <w:pPr>
              <w:pStyle w:val="43"/>
            </w:pPr>
            <w:r>
              <w:rPr>
                <w:rFonts w:hint="eastAsia"/>
              </w:rPr>
              <w:t>……</w:t>
            </w:r>
          </w:p>
        </w:tc>
        <w:tc>
          <w:tcPr>
            <w:tcW w:w="1186" w:type="dxa"/>
            <w:tcBorders>
              <w:top w:val="single" w:color="auto" w:sz="4" w:space="0"/>
              <w:left w:val="single" w:color="auto" w:sz="4" w:space="0"/>
              <w:bottom w:val="single" w:color="auto" w:sz="4" w:space="0"/>
              <w:right w:val="single" w:color="auto" w:sz="4" w:space="0"/>
            </w:tcBorders>
            <w:vAlign w:val="center"/>
          </w:tcPr>
          <w:p w14:paraId="1FD54B37">
            <w:pPr>
              <w:pStyle w:val="43"/>
            </w:pPr>
          </w:p>
        </w:tc>
        <w:tc>
          <w:tcPr>
            <w:tcW w:w="848" w:type="dxa"/>
            <w:tcBorders>
              <w:top w:val="single" w:color="auto" w:sz="4" w:space="0"/>
              <w:left w:val="single" w:color="auto" w:sz="4" w:space="0"/>
              <w:bottom w:val="single" w:color="auto" w:sz="4" w:space="0"/>
              <w:right w:val="single" w:color="auto" w:sz="4" w:space="0"/>
            </w:tcBorders>
            <w:vAlign w:val="center"/>
          </w:tcPr>
          <w:p w14:paraId="50E2B88C">
            <w:pPr>
              <w:pStyle w:val="43"/>
            </w:pPr>
          </w:p>
        </w:tc>
        <w:tc>
          <w:tcPr>
            <w:tcW w:w="848" w:type="dxa"/>
            <w:tcBorders>
              <w:top w:val="single" w:color="auto" w:sz="4" w:space="0"/>
              <w:left w:val="single" w:color="auto" w:sz="4" w:space="0"/>
              <w:bottom w:val="single" w:color="auto" w:sz="4" w:space="0"/>
              <w:right w:val="single" w:color="auto" w:sz="4" w:space="0"/>
            </w:tcBorders>
            <w:vAlign w:val="center"/>
          </w:tcPr>
          <w:p w14:paraId="7E4FEB35">
            <w:pPr>
              <w:pStyle w:val="43"/>
            </w:pPr>
          </w:p>
        </w:tc>
        <w:tc>
          <w:tcPr>
            <w:tcW w:w="945" w:type="dxa"/>
            <w:tcBorders>
              <w:top w:val="single" w:color="auto" w:sz="4" w:space="0"/>
              <w:left w:val="single" w:color="auto" w:sz="4" w:space="0"/>
              <w:bottom w:val="single" w:color="auto" w:sz="4" w:space="0"/>
              <w:right w:val="single" w:color="auto" w:sz="4" w:space="0"/>
            </w:tcBorders>
            <w:vAlign w:val="center"/>
          </w:tcPr>
          <w:p w14:paraId="6C212434">
            <w:pPr>
              <w:pStyle w:val="43"/>
            </w:pPr>
          </w:p>
        </w:tc>
        <w:tc>
          <w:tcPr>
            <w:tcW w:w="1450" w:type="dxa"/>
            <w:tcBorders>
              <w:top w:val="single" w:color="auto" w:sz="4" w:space="0"/>
              <w:left w:val="single" w:color="auto" w:sz="4" w:space="0"/>
              <w:bottom w:val="single" w:color="auto" w:sz="4" w:space="0"/>
              <w:right w:val="single" w:color="auto" w:sz="4" w:space="0"/>
            </w:tcBorders>
            <w:vAlign w:val="center"/>
          </w:tcPr>
          <w:p w14:paraId="1EFA0E85">
            <w:pPr>
              <w:pStyle w:val="43"/>
            </w:pPr>
          </w:p>
        </w:tc>
        <w:tc>
          <w:tcPr>
            <w:tcW w:w="1165" w:type="dxa"/>
            <w:tcBorders>
              <w:top w:val="single" w:color="auto" w:sz="4" w:space="0"/>
              <w:left w:val="single" w:color="auto" w:sz="4" w:space="0"/>
              <w:bottom w:val="single" w:color="auto" w:sz="4" w:space="0"/>
              <w:right w:val="single" w:color="auto" w:sz="4" w:space="0"/>
            </w:tcBorders>
            <w:vAlign w:val="center"/>
          </w:tcPr>
          <w:p w14:paraId="2B5D8AE9">
            <w:pPr>
              <w:pStyle w:val="43"/>
            </w:pPr>
          </w:p>
        </w:tc>
      </w:tr>
    </w:tbl>
    <w:p w14:paraId="371DD668">
      <w:pPr>
        <w:spacing w:line="300" w:lineRule="auto"/>
        <w:rPr>
          <w:rFonts w:ascii="Arial" w:hAnsi="Arial" w:cs="Arial"/>
          <w:szCs w:val="21"/>
        </w:rPr>
      </w:pPr>
    </w:p>
    <w:p w14:paraId="30BD7500">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特别说明：供应商应将所投产品中节能、环保产品分别列入上表中，并按本竞争性磋商文件第二章第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5B819CBC">
      <w:pPr>
        <w:spacing w:line="300" w:lineRule="auto"/>
        <w:rPr>
          <w:rFonts w:ascii="Arial" w:hAnsi="Arial" w:cs="Arial"/>
          <w:color w:val="000000"/>
          <w:szCs w:val="21"/>
        </w:rPr>
      </w:pPr>
    </w:p>
    <w:p w14:paraId="17A6A4FB">
      <w:pPr>
        <w:spacing w:line="300" w:lineRule="auto"/>
        <w:rPr>
          <w:rFonts w:ascii="Arial" w:hAnsi="Arial" w:cs="Arial"/>
          <w:color w:val="000000"/>
          <w:szCs w:val="21"/>
        </w:rPr>
      </w:pPr>
      <w:r>
        <w:rPr>
          <w:rFonts w:hint="eastAsia" w:ascii="Arial" w:hAnsi="Arial" w:cs="Arial"/>
          <w:color w:val="000000"/>
          <w:szCs w:val="21"/>
        </w:rPr>
        <w:t>供应商名称：</w:t>
      </w:r>
      <w:r>
        <w:rPr>
          <w:rFonts w:hint="eastAsia" w:cs="仿宋_GB2312"/>
          <w:u w:val="single"/>
        </w:rPr>
        <w:t xml:space="preserve">                    </w:t>
      </w:r>
      <w:r>
        <w:rPr>
          <w:rFonts w:hint="eastAsia" w:cs="仿宋_GB2312"/>
        </w:rPr>
        <w:t>（盖章）</w:t>
      </w:r>
    </w:p>
    <w:p w14:paraId="26C1EE3D">
      <w:pPr>
        <w:rPr>
          <w:rFonts w:ascii="Arial" w:hAnsi="Arial" w:cs="Arial"/>
          <w:color w:val="000000"/>
          <w:szCs w:val="21"/>
        </w:rPr>
      </w:pPr>
      <w:r>
        <w:rPr>
          <w:rFonts w:hint="eastAsia" w:ascii="Arial" w:hAnsi="Arial" w:cs="Arial"/>
          <w:color w:val="000000"/>
          <w:szCs w:val="21"/>
        </w:rPr>
        <w:t>日期：</w:t>
      </w:r>
    </w:p>
    <w:p w14:paraId="7D4186E9"/>
    <w:p w14:paraId="230AC7C0">
      <w:pPr>
        <w:pStyle w:val="10"/>
      </w:pPr>
    </w:p>
    <w:p w14:paraId="598B910C">
      <w:pPr>
        <w:pStyle w:val="10"/>
      </w:pPr>
    </w:p>
    <w:p w14:paraId="07C7FF6C">
      <w:pPr>
        <w:pStyle w:val="10"/>
      </w:pPr>
    </w:p>
    <w:p w14:paraId="2EC8A8AF">
      <w:pPr>
        <w:pStyle w:val="4"/>
        <w:numPr>
          <w:ilvl w:val="0"/>
          <w:numId w:val="34"/>
        </w:numPr>
        <w:ind w:left="420" w:hanging="420"/>
        <w:rPr>
          <w:rFonts w:cs="仿宋_GB2312"/>
          <w:sz w:val="28"/>
          <w:szCs w:val="28"/>
        </w:rPr>
      </w:pPr>
      <w:bookmarkStart w:id="662" w:name="_Toc31729"/>
      <w:bookmarkStart w:id="663" w:name="_Toc6626"/>
      <w:bookmarkStart w:id="664" w:name="_Toc163493666"/>
      <w:bookmarkStart w:id="665" w:name="_Toc156490373"/>
      <w:r>
        <w:rPr>
          <w:rFonts w:hint="eastAsia" w:cs="仿宋_GB2312"/>
          <w:sz w:val="28"/>
          <w:szCs w:val="28"/>
        </w:rPr>
        <w:t>中小企业声明函（如适用）</w:t>
      </w:r>
      <w:bookmarkEnd w:id="662"/>
      <w:bookmarkEnd w:id="663"/>
      <w:bookmarkEnd w:id="664"/>
    </w:p>
    <w:bookmarkEnd w:id="665"/>
    <w:p w14:paraId="1367D3AC">
      <w:pPr>
        <w:pStyle w:val="36"/>
        <w:numPr>
          <w:ilvl w:val="0"/>
          <w:numId w:val="37"/>
        </w:numPr>
        <w:ind w:firstLineChars="0"/>
      </w:pPr>
      <w:bookmarkStart w:id="666" w:name="_Toc156490374"/>
      <w:r>
        <w:rPr>
          <w:rFonts w:hint="eastAsia"/>
        </w:rPr>
        <w:t>中小企业声明函（工程、服务）</w:t>
      </w:r>
      <w:bookmarkEnd w:id="666"/>
    </w:p>
    <w:p w14:paraId="6F26A474">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1B1BAD2D">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（中型企业、小型企业、微型企业）</w:t>
      </w:r>
      <w:r>
        <w:rPr>
          <w:rFonts w:hint="eastAsia" w:cs="宋体"/>
          <w:spacing w:val="6"/>
        </w:rPr>
        <w:t>；</w:t>
      </w:r>
    </w:p>
    <w:p w14:paraId="78AD445A">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（中型企业、小型企业、微型企业）</w:t>
      </w:r>
      <w:r>
        <w:rPr>
          <w:rFonts w:hint="eastAsia" w:cs="宋体"/>
          <w:spacing w:val="6"/>
        </w:rPr>
        <w:t>；</w:t>
      </w:r>
    </w:p>
    <w:p w14:paraId="0B884B30">
      <w:pPr>
        <w:ind w:firstLine="504" w:firstLineChars="200"/>
        <w:rPr>
          <w:rFonts w:cs="宋体"/>
          <w:spacing w:val="6"/>
        </w:rPr>
      </w:pPr>
      <w:r>
        <w:rPr>
          <w:rFonts w:hint="eastAsia" w:cs="宋体"/>
          <w:spacing w:val="6"/>
        </w:rPr>
        <w:t>……</w:t>
      </w:r>
    </w:p>
    <w:p w14:paraId="1889BB87">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429405FC">
      <w:pPr>
        <w:ind w:firstLine="504" w:firstLineChars="200"/>
        <w:rPr>
          <w:rFonts w:cs="宋体"/>
          <w:spacing w:val="6"/>
        </w:rPr>
      </w:pPr>
      <w:r>
        <w:rPr>
          <w:rFonts w:hint="eastAsia" w:cs="宋体"/>
          <w:spacing w:val="6"/>
        </w:rPr>
        <w:t>本企业对上述声明内容的真实性负责。如有虚假，将依法承担相应责任。</w:t>
      </w:r>
    </w:p>
    <w:p w14:paraId="7C210092">
      <w:pPr>
        <w:ind w:right="1008" w:firstLine="4788" w:firstLineChars="1900"/>
        <w:rPr>
          <w:rFonts w:cs="宋体"/>
          <w:spacing w:val="6"/>
        </w:rPr>
      </w:pPr>
    </w:p>
    <w:p w14:paraId="345D66AC">
      <w:pPr>
        <w:ind w:right="1008" w:firstLine="4788" w:firstLineChars="1900"/>
        <w:rPr>
          <w:rFonts w:cs="宋体"/>
          <w:spacing w:val="6"/>
        </w:rPr>
      </w:pPr>
      <w:r>
        <w:rPr>
          <w:rFonts w:hint="eastAsia" w:cs="宋体"/>
          <w:spacing w:val="6"/>
        </w:rPr>
        <w:t>企业名称</w:t>
      </w:r>
      <w:r>
        <w:rPr>
          <w:rFonts w:hint="eastAsia" w:cs="仿宋_GB2312"/>
        </w:rPr>
        <w:t>（盖章）</w:t>
      </w:r>
      <w:r>
        <w:rPr>
          <w:rFonts w:hint="eastAsia" w:cs="宋体"/>
          <w:spacing w:val="6"/>
        </w:rPr>
        <w:t>：</w:t>
      </w:r>
    </w:p>
    <w:p w14:paraId="7DEA0D96">
      <w:pPr>
        <w:ind w:right="1008" w:firstLine="4788" w:firstLineChars="1900"/>
        <w:rPr>
          <w:rFonts w:cs="宋体"/>
          <w:spacing w:val="6"/>
        </w:rPr>
      </w:pPr>
      <w:r>
        <w:rPr>
          <w:rFonts w:hint="eastAsia" w:cs="宋体"/>
          <w:spacing w:val="6"/>
        </w:rPr>
        <w:t>日 期：</w:t>
      </w:r>
    </w:p>
    <w:p w14:paraId="57C54FC2">
      <w:pPr>
        <w:ind w:firstLine="504" w:firstLineChars="200"/>
        <w:rPr>
          <w:rFonts w:cs="宋体"/>
          <w:spacing w:val="6"/>
        </w:rPr>
      </w:pPr>
    </w:p>
    <w:p w14:paraId="7C23BAA8">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690DE177"/>
    <w:p w14:paraId="3363670E">
      <w:r>
        <w:br w:type="page"/>
      </w:r>
    </w:p>
    <w:p w14:paraId="2FDBF96D">
      <w:pPr>
        <w:pStyle w:val="4"/>
        <w:numPr>
          <w:ilvl w:val="0"/>
          <w:numId w:val="34"/>
        </w:numPr>
        <w:ind w:left="420" w:hanging="420"/>
        <w:rPr>
          <w:rFonts w:cs="仿宋_GB2312"/>
          <w:sz w:val="28"/>
          <w:szCs w:val="28"/>
        </w:rPr>
      </w:pPr>
      <w:bookmarkStart w:id="667" w:name="_Toc156490375"/>
      <w:bookmarkStart w:id="668" w:name="_Toc29470"/>
      <w:bookmarkStart w:id="669" w:name="_Toc23632"/>
      <w:bookmarkStart w:id="670" w:name="_Toc163493667"/>
      <w:r>
        <w:rPr>
          <w:rFonts w:hint="eastAsia" w:cs="仿宋_GB2312"/>
          <w:sz w:val="28"/>
          <w:szCs w:val="28"/>
        </w:rPr>
        <w:t>监狱企业证明文件</w:t>
      </w:r>
      <w:bookmarkEnd w:id="667"/>
      <w:r>
        <w:rPr>
          <w:rFonts w:hint="eastAsia" w:cs="仿宋_GB2312"/>
          <w:sz w:val="28"/>
          <w:szCs w:val="28"/>
        </w:rPr>
        <w:t>（如适用）</w:t>
      </w:r>
      <w:bookmarkEnd w:id="668"/>
      <w:bookmarkEnd w:id="669"/>
      <w:bookmarkEnd w:id="670"/>
    </w:p>
    <w:p w14:paraId="360A6BE0"/>
    <w:p w14:paraId="46A454A8">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4C905C69">
      <w:pPr>
        <w:widowControl/>
        <w:spacing w:before="100" w:beforeAutospacing="1" w:after="100" w:afterAutospacing="1"/>
        <w:rPr>
          <w:rFonts w:ascii="Arial" w:hAnsi="Arial" w:cs="Arial"/>
          <w:szCs w:val="21"/>
        </w:rPr>
      </w:pPr>
    </w:p>
    <w:p w14:paraId="07B9C3A7">
      <w:pPr>
        <w:widowControl/>
        <w:spacing w:before="100" w:beforeAutospacing="1" w:after="100" w:afterAutospacing="1"/>
        <w:rPr>
          <w:rFonts w:ascii="Arial" w:hAnsi="Arial" w:cs="Arial"/>
          <w:szCs w:val="21"/>
        </w:rPr>
      </w:pPr>
    </w:p>
    <w:p w14:paraId="486262A7">
      <w:pPr>
        <w:widowControl/>
        <w:spacing w:before="100" w:beforeAutospacing="1" w:after="100" w:afterAutospacing="1"/>
        <w:rPr>
          <w:rFonts w:ascii="Arial" w:hAnsi="Arial" w:cs="Arial"/>
          <w:szCs w:val="21"/>
        </w:rPr>
      </w:pPr>
    </w:p>
    <w:p w14:paraId="57C58998">
      <w:pPr>
        <w:widowControl/>
        <w:spacing w:before="100" w:beforeAutospacing="1" w:after="100" w:afterAutospacing="1"/>
        <w:rPr>
          <w:rFonts w:ascii="Arial" w:hAnsi="Arial" w:cs="Arial"/>
          <w:szCs w:val="21"/>
        </w:rPr>
      </w:pPr>
    </w:p>
    <w:p w14:paraId="36396E27">
      <w:pPr>
        <w:widowControl/>
        <w:spacing w:before="100" w:beforeAutospacing="1" w:after="100" w:afterAutospacing="1"/>
        <w:rPr>
          <w:rFonts w:ascii="Arial" w:hAnsi="Arial" w:cs="Arial"/>
          <w:szCs w:val="21"/>
        </w:rPr>
      </w:pPr>
    </w:p>
    <w:p w14:paraId="14C6CA32">
      <w:pPr>
        <w:spacing w:line="300" w:lineRule="auto"/>
        <w:rPr>
          <w:rFonts w:ascii="Arial" w:hAnsi="Arial" w:cs="Arial"/>
          <w:szCs w:val="21"/>
        </w:rPr>
      </w:pPr>
      <w:r>
        <w:rPr>
          <w:rFonts w:ascii="Arial" w:hAnsi="Arial" w:cs="Arial"/>
          <w:szCs w:val="21"/>
        </w:rPr>
        <w:t>供应商名称</w:t>
      </w:r>
      <w:r>
        <w:rPr>
          <w:rFonts w:hint="eastAsia" w:cs="仿宋_GB2312"/>
        </w:rPr>
        <w:t>（盖章）</w:t>
      </w:r>
      <w:r>
        <w:rPr>
          <w:rFonts w:hint="eastAsia" w:ascii="Arial" w:hAnsi="Arial" w:cs="Arial"/>
          <w:szCs w:val="21"/>
        </w:rPr>
        <w:t>：</w:t>
      </w:r>
      <w:r>
        <w:rPr>
          <w:rFonts w:ascii="Arial" w:hAnsi="Arial" w:cs="Arial"/>
          <w:szCs w:val="21"/>
        </w:rPr>
        <w:t xml:space="preserve"> </w:t>
      </w:r>
    </w:p>
    <w:p w14:paraId="50355A28">
      <w:pPr>
        <w:rPr>
          <w:rFonts w:ascii="Arial" w:hAnsi="Arial" w:cs="Arial"/>
          <w:szCs w:val="21"/>
        </w:rPr>
      </w:pPr>
      <w:r>
        <w:rPr>
          <w:rFonts w:ascii="Arial" w:hAnsi="Arial" w:cs="Arial"/>
          <w:szCs w:val="21"/>
        </w:rPr>
        <w:t>日期：</w:t>
      </w:r>
    </w:p>
    <w:p w14:paraId="5C26D14A">
      <w:pPr>
        <w:rPr>
          <w:rFonts w:ascii="Arial" w:hAnsi="Arial" w:cs="Arial"/>
          <w:szCs w:val="21"/>
        </w:rPr>
      </w:pPr>
    </w:p>
    <w:p w14:paraId="05ACB53B">
      <w:pPr>
        <w:rPr>
          <w:rFonts w:ascii="Arial" w:hAnsi="Arial" w:cs="Arial"/>
          <w:szCs w:val="21"/>
        </w:rPr>
      </w:pPr>
      <w:r>
        <w:rPr>
          <w:rFonts w:ascii="Arial" w:hAnsi="Arial" w:cs="Arial"/>
          <w:szCs w:val="21"/>
        </w:rPr>
        <w:br w:type="page"/>
      </w:r>
    </w:p>
    <w:p w14:paraId="07BF8224">
      <w:pPr>
        <w:pStyle w:val="4"/>
        <w:numPr>
          <w:ilvl w:val="0"/>
          <w:numId w:val="34"/>
        </w:numPr>
        <w:ind w:left="420" w:hanging="420"/>
        <w:rPr>
          <w:rFonts w:cs="仿宋_GB2312"/>
          <w:sz w:val="28"/>
          <w:szCs w:val="28"/>
        </w:rPr>
      </w:pPr>
      <w:bookmarkStart w:id="671" w:name="_Toc156490376"/>
      <w:bookmarkStart w:id="672" w:name="_Toc25979"/>
      <w:bookmarkStart w:id="673" w:name="_Toc26230"/>
      <w:bookmarkStart w:id="674" w:name="_Toc163493668"/>
      <w:r>
        <w:rPr>
          <w:rFonts w:cs="仿宋_GB2312"/>
          <w:sz w:val="28"/>
          <w:szCs w:val="28"/>
        </w:rPr>
        <w:t>残疾人福利性单位声明函</w:t>
      </w:r>
      <w:bookmarkEnd w:id="671"/>
      <w:r>
        <w:rPr>
          <w:rFonts w:hint="eastAsia" w:cs="仿宋_GB2312"/>
          <w:sz w:val="28"/>
          <w:szCs w:val="28"/>
        </w:rPr>
        <w:t>（如适用）</w:t>
      </w:r>
      <w:bookmarkEnd w:id="672"/>
      <w:bookmarkEnd w:id="673"/>
      <w:bookmarkEnd w:id="674"/>
    </w:p>
    <w:p w14:paraId="4287D0BC">
      <w:pPr>
        <w:spacing w:line="588" w:lineRule="exact"/>
        <w:jc w:val="center"/>
        <w:outlineLvl w:val="1"/>
        <w:rPr>
          <w:b/>
          <w:spacing w:val="6"/>
          <w:szCs w:val="21"/>
        </w:rPr>
      </w:pPr>
      <w:bookmarkStart w:id="675" w:name="_Toc1562"/>
      <w:r>
        <w:rPr>
          <w:rFonts w:hint="eastAsia"/>
          <w:b/>
          <w:spacing w:val="6"/>
          <w:szCs w:val="21"/>
        </w:rPr>
        <w:t>残疾人福利性单位声明函</w:t>
      </w:r>
      <w:bookmarkEnd w:id="675"/>
    </w:p>
    <w:p w14:paraId="46CAB686">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5B2C9B2">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33C6A436">
      <w:pPr>
        <w:tabs>
          <w:tab w:val="left" w:pos="4860"/>
        </w:tabs>
        <w:spacing w:line="588" w:lineRule="exact"/>
        <w:ind w:right="1560" w:firstLine="504" w:firstLineChars="200"/>
        <w:jc w:val="right"/>
        <w:rPr>
          <w:spacing w:val="6"/>
          <w:szCs w:val="21"/>
        </w:rPr>
      </w:pPr>
      <w:r>
        <w:rPr>
          <w:rFonts w:hint="eastAsia"/>
          <w:spacing w:val="6"/>
          <w:szCs w:val="21"/>
        </w:rPr>
        <w:t>单位名称</w:t>
      </w:r>
      <w:r>
        <w:rPr>
          <w:rFonts w:hint="eastAsia" w:cs="仿宋_GB2312"/>
        </w:rPr>
        <w:t>（盖章）</w:t>
      </w:r>
      <w:r>
        <w:rPr>
          <w:rFonts w:hint="eastAsia"/>
          <w:spacing w:val="6"/>
          <w:szCs w:val="21"/>
        </w:rPr>
        <w:t>：</w:t>
      </w:r>
    </w:p>
    <w:p w14:paraId="351AD07A">
      <w:pPr>
        <w:tabs>
          <w:tab w:val="left" w:pos="4860"/>
        </w:tabs>
        <w:spacing w:line="588" w:lineRule="exact"/>
        <w:ind w:right="1560" w:firstLine="504" w:firstLineChars="200"/>
        <w:jc w:val="right"/>
        <w:rPr>
          <w:spacing w:val="6"/>
          <w:szCs w:val="21"/>
        </w:rPr>
      </w:pPr>
      <w:r>
        <w:rPr>
          <w:rFonts w:hint="eastAsia"/>
          <w:spacing w:val="6"/>
          <w:szCs w:val="21"/>
        </w:rPr>
        <w:t>日  期：</w:t>
      </w:r>
    </w:p>
    <w:p w14:paraId="6BE6E078">
      <w:pPr>
        <w:snapToGrid w:val="0"/>
        <w:spacing w:line="300" w:lineRule="auto"/>
      </w:pPr>
      <w:r>
        <w:rPr>
          <w:rFonts w:hint="eastAsia"/>
        </w:rPr>
        <w:t>备注：享受政府采购支持政策的残疾人福利性单位应当同时满足以下条件：</w:t>
      </w:r>
    </w:p>
    <w:p w14:paraId="62E6482E">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3DA48087">
      <w:pPr>
        <w:snapToGrid w:val="0"/>
        <w:spacing w:line="300" w:lineRule="auto"/>
        <w:ind w:firstLine="480" w:firstLineChars="200"/>
      </w:pPr>
      <w:r>
        <w:rPr>
          <w:rFonts w:hint="eastAsia"/>
        </w:rPr>
        <w:t>（2）依法与安置的每位残疾人签订了一年以上（含一年）的劳动合同或服务协议；</w:t>
      </w:r>
    </w:p>
    <w:p w14:paraId="4BD38BC3">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4517CEC4">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6E8A41F4">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73D83A81">
      <w:pPr>
        <w:snapToGrid w:val="0"/>
        <w:spacing w:line="300" w:lineRule="auto"/>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661"/>
    <w:p w14:paraId="1BCCFF1B">
      <w:r>
        <w:br w:type="page"/>
      </w:r>
    </w:p>
    <w:p w14:paraId="271D412E">
      <w:pPr>
        <w:pStyle w:val="3"/>
        <w:numPr>
          <w:ilvl w:val="0"/>
          <w:numId w:val="25"/>
        </w:numPr>
      </w:pPr>
      <w:bookmarkStart w:id="676" w:name="_Toc3874"/>
      <w:bookmarkStart w:id="677" w:name="_Toc7789"/>
      <w:bookmarkStart w:id="678" w:name="_Toc156490377"/>
      <w:bookmarkStart w:id="679" w:name="_Toc21736"/>
      <w:bookmarkStart w:id="680" w:name="_Toc163493669"/>
      <w:r>
        <w:rPr>
          <w:rFonts w:hint="eastAsia"/>
        </w:rPr>
        <w:t>供应商认为需要提供的其他资料</w:t>
      </w:r>
      <w:bookmarkEnd w:id="676"/>
      <w:bookmarkEnd w:id="677"/>
      <w:bookmarkEnd w:id="678"/>
      <w:bookmarkEnd w:id="679"/>
      <w:bookmarkEnd w:id="680"/>
    </w:p>
    <w:p w14:paraId="264F5C91">
      <w:pPr>
        <w:ind w:firstLine="480" w:firstLineChars="200"/>
        <w:rPr>
          <w:rFonts w:cs="仿宋_GB2312"/>
        </w:rPr>
      </w:pPr>
      <w:r>
        <w:rPr>
          <w:rFonts w:hint="eastAsia" w:cs="仿宋_GB2312"/>
        </w:rPr>
        <w:t>1. 磋商文件要求供应商须提交的其它资料；</w:t>
      </w:r>
    </w:p>
    <w:p w14:paraId="102CB3F2">
      <w:pPr>
        <w:ind w:firstLine="480" w:firstLineChars="200"/>
        <w:rPr>
          <w:rFonts w:cs="仿宋_GB2312"/>
        </w:rPr>
      </w:pPr>
      <w:r>
        <w:rPr>
          <w:rFonts w:hint="eastAsia" w:cs="仿宋_GB2312"/>
        </w:rPr>
        <w:t>2. 供应商认为需加以说明的其它内容。</w:t>
      </w:r>
    </w:p>
    <w:bookmarkEnd w:id="635"/>
    <w:p w14:paraId="397F77F7"/>
    <w:p w14:paraId="6636746E"/>
    <w:sectPr>
      <w:pgSz w:w="11906" w:h="16838"/>
      <w:pgMar w:top="1417" w:right="1800" w:bottom="141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504020202030204"/>
    <w:charset w:val="00"/>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28585"/>
      <w:docPartObj>
        <w:docPartGallery w:val="autotext"/>
      </w:docPartObj>
    </w:sdtPr>
    <w:sdtContent>
      <w:p w14:paraId="06BB97CF">
        <w:pPr>
          <w:pStyle w:val="16"/>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322C5">
    <w:pPr>
      <w:pStyle w:val="17"/>
      <w:jc w:val="right"/>
      <w:rPr>
        <w:sz w:val="21"/>
        <w:szCs w:val="21"/>
      </w:rPr>
    </w:pPr>
    <w:r>
      <w:rPr>
        <w:rFonts w:hint="eastAsia"/>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19812"/>
    <w:multiLevelType w:val="multilevel"/>
    <w:tmpl w:val="C4D1981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7AFD7B3"/>
    <w:multiLevelType w:val="singleLevel"/>
    <w:tmpl w:val="D7AFD7B3"/>
    <w:lvl w:ilvl="0" w:tentative="0">
      <w:start w:val="1"/>
      <w:numFmt w:val="decimal"/>
      <w:lvlText w:val="%1."/>
      <w:lvlJc w:val="left"/>
      <w:pPr>
        <w:tabs>
          <w:tab w:val="left" w:pos="312"/>
        </w:tabs>
      </w:pPr>
    </w:lvl>
  </w:abstractNum>
  <w:abstractNum w:abstractNumId="2">
    <w:nsid w:val="E6CAA49D"/>
    <w:multiLevelType w:val="singleLevel"/>
    <w:tmpl w:val="E6CAA49D"/>
    <w:lvl w:ilvl="0" w:tentative="0">
      <w:start w:val="1"/>
      <w:numFmt w:val="decimal"/>
      <w:suff w:val="nothing"/>
      <w:lvlText w:val="%1、"/>
      <w:lvlJc w:val="left"/>
    </w:lvl>
  </w:abstractNum>
  <w:abstractNum w:abstractNumId="3">
    <w:nsid w:val="F0FFC604"/>
    <w:multiLevelType w:val="singleLevel"/>
    <w:tmpl w:val="F0FFC604"/>
    <w:lvl w:ilvl="0" w:tentative="0">
      <w:start w:val="1"/>
      <w:numFmt w:val="decimal"/>
      <w:suff w:val="nothing"/>
      <w:lvlText w:val="%1、"/>
      <w:lvlJc w:val="left"/>
    </w:lvl>
  </w:abstractNum>
  <w:abstractNum w:abstractNumId="4">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5">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034E6924"/>
    <w:multiLevelType w:val="multilevel"/>
    <w:tmpl w:val="034E6924"/>
    <w:lvl w:ilvl="0" w:tentative="0">
      <w:start w:val="1"/>
      <w:numFmt w:val="decimal"/>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587FB6"/>
    <w:multiLevelType w:val="multilevel"/>
    <w:tmpl w:val="03587FB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A42A10"/>
    <w:multiLevelType w:val="multilevel"/>
    <w:tmpl w:val="0FA42A1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4286D88"/>
    <w:multiLevelType w:val="multilevel"/>
    <w:tmpl w:val="14286D88"/>
    <w:lvl w:ilvl="0" w:tentative="0">
      <w:start w:val="1"/>
      <w:numFmt w:val="decimal"/>
      <w:suff w:val="nothing"/>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5D15669"/>
    <w:multiLevelType w:val="singleLevel"/>
    <w:tmpl w:val="15D15669"/>
    <w:lvl w:ilvl="0" w:tentative="0">
      <w:start w:val="4"/>
      <w:numFmt w:val="decimal"/>
      <w:suff w:val="nothing"/>
      <w:lvlText w:val="%1、"/>
      <w:lvlJc w:val="left"/>
    </w:lvl>
  </w:abstractNum>
  <w:abstractNum w:abstractNumId="1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9CC1CB3"/>
    <w:multiLevelType w:val="singleLevel"/>
    <w:tmpl w:val="29CC1CB3"/>
    <w:lvl w:ilvl="0" w:tentative="0">
      <w:start w:val="1"/>
      <w:numFmt w:val="decimal"/>
      <w:suff w:val="nothing"/>
      <w:lvlText w:val="（%1）"/>
      <w:lvlJc w:val="left"/>
    </w:lvl>
  </w:abstractNum>
  <w:abstractNum w:abstractNumId="16">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3A51ABA"/>
    <w:multiLevelType w:val="singleLevel"/>
    <w:tmpl w:val="33A51ABA"/>
    <w:lvl w:ilvl="0" w:tentative="0">
      <w:start w:val="1"/>
      <w:numFmt w:val="decimal"/>
      <w:suff w:val="nothing"/>
      <w:lvlText w:val="（%1）"/>
      <w:lvlJc w:val="left"/>
    </w:lvl>
  </w:abstractNum>
  <w:abstractNum w:abstractNumId="18">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CA538A8"/>
    <w:multiLevelType w:val="multilevel"/>
    <w:tmpl w:val="3CA538A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1674470"/>
    <w:multiLevelType w:val="multilevel"/>
    <w:tmpl w:val="4167447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4535F05"/>
    <w:multiLevelType w:val="multilevel"/>
    <w:tmpl w:val="44535F0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47B6378"/>
    <w:multiLevelType w:val="multilevel"/>
    <w:tmpl w:val="447B6378"/>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28">
    <w:nsid w:val="622D139A"/>
    <w:multiLevelType w:val="multilevel"/>
    <w:tmpl w:val="622D13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9A06F9C"/>
    <w:multiLevelType w:val="multilevel"/>
    <w:tmpl w:val="69A06F9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1">
    <w:nsid w:val="6D744622"/>
    <w:multiLevelType w:val="multilevel"/>
    <w:tmpl w:val="6D74462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DE718F7"/>
    <w:multiLevelType w:val="multilevel"/>
    <w:tmpl w:val="6DE718F7"/>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7BA7793"/>
    <w:multiLevelType w:val="multilevel"/>
    <w:tmpl w:val="77BA7793"/>
    <w:lvl w:ilvl="0" w:tentative="0">
      <w:start w:val="1"/>
      <w:numFmt w:val="japaneseCounting"/>
      <w:lvlText w:val="%1、"/>
      <w:lvlJc w:val="left"/>
      <w:pPr>
        <w:ind w:left="1200" w:hanging="720"/>
      </w:pPr>
      <w:rPr>
        <w:rFonts w:hint="eastAsia"/>
        <w:b/>
        <w:bCs w:val="0"/>
        <w:i w:val="0"/>
        <w:iCs w:val="0"/>
        <w:strike w:val="0"/>
        <w:dstrike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7B79150B"/>
    <w:multiLevelType w:val="multilevel"/>
    <w:tmpl w:val="7B7915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EB66989"/>
    <w:multiLevelType w:val="multilevel"/>
    <w:tmpl w:val="7EB66989"/>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16"/>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0"/>
  </w:num>
  <w:num w:numId="7">
    <w:abstractNumId w:val="2"/>
  </w:num>
  <w:num w:numId="8">
    <w:abstractNumId w:val="23"/>
  </w:num>
  <w:num w:numId="9">
    <w:abstractNumId w:val="10"/>
  </w:num>
  <w:num w:numId="10">
    <w:abstractNumId w:val="4"/>
  </w:num>
  <w:num w:numId="11">
    <w:abstractNumId w:val="11"/>
  </w:num>
  <w:num w:numId="12">
    <w:abstractNumId w:val="3"/>
  </w:num>
  <w:num w:numId="13">
    <w:abstractNumId w:val="36"/>
  </w:num>
  <w:num w:numId="14">
    <w:abstractNumId w:val="7"/>
  </w:num>
  <w:num w:numId="15">
    <w:abstractNumId w:val="2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6"/>
  </w:num>
  <w:num w:numId="22">
    <w:abstractNumId w:val="17"/>
  </w:num>
  <w:num w:numId="23">
    <w:abstractNumId w:val="15"/>
  </w:num>
  <w:num w:numId="24">
    <w:abstractNumId w:val="34"/>
  </w:num>
  <w:num w:numId="25">
    <w:abstractNumId w:val="35"/>
  </w:num>
  <w:num w:numId="26">
    <w:abstractNumId w:val="31"/>
  </w:num>
  <w:num w:numId="27">
    <w:abstractNumId w:val="27"/>
  </w:num>
  <w:num w:numId="28">
    <w:abstractNumId w:val="5"/>
  </w:num>
  <w:num w:numId="29">
    <w:abstractNumId w:val="29"/>
  </w:num>
  <w:num w:numId="30">
    <w:abstractNumId w:val="26"/>
  </w:num>
  <w:num w:numId="31">
    <w:abstractNumId w:val="13"/>
  </w:num>
  <w:num w:numId="32">
    <w:abstractNumId w:val="8"/>
  </w:num>
  <w:num w:numId="33">
    <w:abstractNumId w:val="0"/>
  </w:num>
  <w:num w:numId="34">
    <w:abstractNumId w:val="1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4NmViM2IwZDA1YTRjOWRmZjJjNGEzM2ZjNWJjODk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1485"/>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1147"/>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4062"/>
    <w:rsid w:val="00DB07DE"/>
    <w:rsid w:val="00DB6470"/>
    <w:rsid w:val="00DB648D"/>
    <w:rsid w:val="00DC070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437C9C"/>
    <w:rsid w:val="01830099"/>
    <w:rsid w:val="01E90844"/>
    <w:rsid w:val="01F12262"/>
    <w:rsid w:val="01F34BEA"/>
    <w:rsid w:val="01F5378D"/>
    <w:rsid w:val="02104022"/>
    <w:rsid w:val="02EE7B6C"/>
    <w:rsid w:val="041E0C2A"/>
    <w:rsid w:val="042B64D1"/>
    <w:rsid w:val="04C609C8"/>
    <w:rsid w:val="05271520"/>
    <w:rsid w:val="052F439C"/>
    <w:rsid w:val="057B45B9"/>
    <w:rsid w:val="05B15E1B"/>
    <w:rsid w:val="05F41565"/>
    <w:rsid w:val="062743A8"/>
    <w:rsid w:val="0686696A"/>
    <w:rsid w:val="075D28A2"/>
    <w:rsid w:val="078901E4"/>
    <w:rsid w:val="083B140E"/>
    <w:rsid w:val="088D534E"/>
    <w:rsid w:val="08ED5564"/>
    <w:rsid w:val="091E38FD"/>
    <w:rsid w:val="09717281"/>
    <w:rsid w:val="09947930"/>
    <w:rsid w:val="09C039BF"/>
    <w:rsid w:val="0A925D5F"/>
    <w:rsid w:val="0B3A7C9B"/>
    <w:rsid w:val="0C301E40"/>
    <w:rsid w:val="0C63387D"/>
    <w:rsid w:val="0D0758F2"/>
    <w:rsid w:val="0D0C381F"/>
    <w:rsid w:val="0D82748E"/>
    <w:rsid w:val="0DDF6BD9"/>
    <w:rsid w:val="0E077618"/>
    <w:rsid w:val="0E1B0E31"/>
    <w:rsid w:val="0E4A08BC"/>
    <w:rsid w:val="0E4F69B7"/>
    <w:rsid w:val="0E5C267A"/>
    <w:rsid w:val="0F392E3F"/>
    <w:rsid w:val="10584795"/>
    <w:rsid w:val="109127D2"/>
    <w:rsid w:val="10914580"/>
    <w:rsid w:val="118F31E7"/>
    <w:rsid w:val="11DA4A5C"/>
    <w:rsid w:val="12394243"/>
    <w:rsid w:val="12951569"/>
    <w:rsid w:val="12F64B6E"/>
    <w:rsid w:val="130E084E"/>
    <w:rsid w:val="13DD188A"/>
    <w:rsid w:val="14027543"/>
    <w:rsid w:val="14337C19"/>
    <w:rsid w:val="14600DC5"/>
    <w:rsid w:val="1473369D"/>
    <w:rsid w:val="1525173B"/>
    <w:rsid w:val="15567B46"/>
    <w:rsid w:val="16673A60"/>
    <w:rsid w:val="16F413C5"/>
    <w:rsid w:val="17A94BA3"/>
    <w:rsid w:val="17D81284"/>
    <w:rsid w:val="19445237"/>
    <w:rsid w:val="197E3186"/>
    <w:rsid w:val="19FB6F0E"/>
    <w:rsid w:val="1AC547E9"/>
    <w:rsid w:val="1B0D6CCD"/>
    <w:rsid w:val="1B3F1799"/>
    <w:rsid w:val="1BA439D8"/>
    <w:rsid w:val="1BF46C21"/>
    <w:rsid w:val="1CD1502C"/>
    <w:rsid w:val="1D1B23AC"/>
    <w:rsid w:val="1D503CC5"/>
    <w:rsid w:val="1D66732D"/>
    <w:rsid w:val="1D71700C"/>
    <w:rsid w:val="1DA1311D"/>
    <w:rsid w:val="1DA43027"/>
    <w:rsid w:val="1DAC6862"/>
    <w:rsid w:val="1E07771F"/>
    <w:rsid w:val="1EAF02C7"/>
    <w:rsid w:val="1EB802F2"/>
    <w:rsid w:val="1F06438B"/>
    <w:rsid w:val="1F196CBA"/>
    <w:rsid w:val="20F13FB2"/>
    <w:rsid w:val="20F843D4"/>
    <w:rsid w:val="20FF5536"/>
    <w:rsid w:val="211D5D5F"/>
    <w:rsid w:val="21821998"/>
    <w:rsid w:val="21ED1643"/>
    <w:rsid w:val="22097B8B"/>
    <w:rsid w:val="228B3FE9"/>
    <w:rsid w:val="238E2FC6"/>
    <w:rsid w:val="23BF023F"/>
    <w:rsid w:val="23FE64EA"/>
    <w:rsid w:val="24577DD3"/>
    <w:rsid w:val="25710EE5"/>
    <w:rsid w:val="25C428AA"/>
    <w:rsid w:val="25C74149"/>
    <w:rsid w:val="26031B19"/>
    <w:rsid w:val="264978EB"/>
    <w:rsid w:val="264A4AC2"/>
    <w:rsid w:val="264D6D44"/>
    <w:rsid w:val="26563D73"/>
    <w:rsid w:val="265B00F9"/>
    <w:rsid w:val="268A3AF4"/>
    <w:rsid w:val="26964056"/>
    <w:rsid w:val="27050D40"/>
    <w:rsid w:val="27F21951"/>
    <w:rsid w:val="28C25ED7"/>
    <w:rsid w:val="291E5EBC"/>
    <w:rsid w:val="296F195B"/>
    <w:rsid w:val="29D769AF"/>
    <w:rsid w:val="2A110696"/>
    <w:rsid w:val="2A2F30BE"/>
    <w:rsid w:val="2A604980"/>
    <w:rsid w:val="2A781EB5"/>
    <w:rsid w:val="2AE256D8"/>
    <w:rsid w:val="2AE9690F"/>
    <w:rsid w:val="2B1E75FA"/>
    <w:rsid w:val="2B604E23"/>
    <w:rsid w:val="2B7E692D"/>
    <w:rsid w:val="2B91322F"/>
    <w:rsid w:val="2BBF5FEE"/>
    <w:rsid w:val="2C066DE8"/>
    <w:rsid w:val="2C536C14"/>
    <w:rsid w:val="2C9C00DD"/>
    <w:rsid w:val="2CC36FDC"/>
    <w:rsid w:val="2D200D0E"/>
    <w:rsid w:val="2DC31151"/>
    <w:rsid w:val="2E041685"/>
    <w:rsid w:val="2E30437A"/>
    <w:rsid w:val="2E5A59AB"/>
    <w:rsid w:val="2E617F64"/>
    <w:rsid w:val="2E93215F"/>
    <w:rsid w:val="2EA15EF4"/>
    <w:rsid w:val="2F0B2FD2"/>
    <w:rsid w:val="30006BD5"/>
    <w:rsid w:val="301641AE"/>
    <w:rsid w:val="3030536A"/>
    <w:rsid w:val="306623EF"/>
    <w:rsid w:val="30CE77D0"/>
    <w:rsid w:val="310B330B"/>
    <w:rsid w:val="310D6635"/>
    <w:rsid w:val="311148E7"/>
    <w:rsid w:val="31216E03"/>
    <w:rsid w:val="3130226F"/>
    <w:rsid w:val="31991F85"/>
    <w:rsid w:val="31CF248B"/>
    <w:rsid w:val="31F12C79"/>
    <w:rsid w:val="31F2254D"/>
    <w:rsid w:val="31FA500A"/>
    <w:rsid w:val="31FB42D0"/>
    <w:rsid w:val="32C07118"/>
    <w:rsid w:val="32EB3006"/>
    <w:rsid w:val="33F1187B"/>
    <w:rsid w:val="344A0DFB"/>
    <w:rsid w:val="34837ECB"/>
    <w:rsid w:val="349C5830"/>
    <w:rsid w:val="35170810"/>
    <w:rsid w:val="351E0833"/>
    <w:rsid w:val="353D3B17"/>
    <w:rsid w:val="35CD57AB"/>
    <w:rsid w:val="3603072D"/>
    <w:rsid w:val="36317A21"/>
    <w:rsid w:val="368E6FDA"/>
    <w:rsid w:val="36CA39A9"/>
    <w:rsid w:val="371602F8"/>
    <w:rsid w:val="37324A70"/>
    <w:rsid w:val="37705235"/>
    <w:rsid w:val="37C3031A"/>
    <w:rsid w:val="38123949"/>
    <w:rsid w:val="38400EDD"/>
    <w:rsid w:val="393873DF"/>
    <w:rsid w:val="394E09B1"/>
    <w:rsid w:val="3950579F"/>
    <w:rsid w:val="3A073FB5"/>
    <w:rsid w:val="3AE113B1"/>
    <w:rsid w:val="3AEF7B36"/>
    <w:rsid w:val="3C2C5D42"/>
    <w:rsid w:val="3C796212"/>
    <w:rsid w:val="3CE80E5E"/>
    <w:rsid w:val="3D0C014B"/>
    <w:rsid w:val="3D3656AF"/>
    <w:rsid w:val="3D622229"/>
    <w:rsid w:val="3D9456EB"/>
    <w:rsid w:val="3DA344CA"/>
    <w:rsid w:val="3DF458E6"/>
    <w:rsid w:val="3E4C640E"/>
    <w:rsid w:val="3E622809"/>
    <w:rsid w:val="3E834C59"/>
    <w:rsid w:val="3E99028C"/>
    <w:rsid w:val="3EAC594E"/>
    <w:rsid w:val="3EB5502E"/>
    <w:rsid w:val="3EFB3572"/>
    <w:rsid w:val="3EFE1BDD"/>
    <w:rsid w:val="3F6A7B5D"/>
    <w:rsid w:val="3FBA749C"/>
    <w:rsid w:val="40140575"/>
    <w:rsid w:val="404C3316"/>
    <w:rsid w:val="40624D42"/>
    <w:rsid w:val="40BE641C"/>
    <w:rsid w:val="41BF7639"/>
    <w:rsid w:val="41EE3BAB"/>
    <w:rsid w:val="42581CB6"/>
    <w:rsid w:val="42703746"/>
    <w:rsid w:val="427F134B"/>
    <w:rsid w:val="434B1FE4"/>
    <w:rsid w:val="43F62371"/>
    <w:rsid w:val="4400619E"/>
    <w:rsid w:val="440F593D"/>
    <w:rsid w:val="44497BB1"/>
    <w:rsid w:val="44530E5F"/>
    <w:rsid w:val="447F2366"/>
    <w:rsid w:val="453171FF"/>
    <w:rsid w:val="463B79B2"/>
    <w:rsid w:val="46D71FE6"/>
    <w:rsid w:val="46E964EB"/>
    <w:rsid w:val="478C095B"/>
    <w:rsid w:val="481847AA"/>
    <w:rsid w:val="48BE7044"/>
    <w:rsid w:val="48EE2BC9"/>
    <w:rsid w:val="49504131"/>
    <w:rsid w:val="497004D0"/>
    <w:rsid w:val="49780CD0"/>
    <w:rsid w:val="49862CF3"/>
    <w:rsid w:val="49BC6261"/>
    <w:rsid w:val="4A2F3B7C"/>
    <w:rsid w:val="4A9F00F9"/>
    <w:rsid w:val="4AB13E80"/>
    <w:rsid w:val="4AFD287D"/>
    <w:rsid w:val="4B281CCB"/>
    <w:rsid w:val="4B647BC0"/>
    <w:rsid w:val="4BB9615E"/>
    <w:rsid w:val="4CD0578F"/>
    <w:rsid w:val="4D225F85"/>
    <w:rsid w:val="4D26556D"/>
    <w:rsid w:val="4D812783"/>
    <w:rsid w:val="4DF2028E"/>
    <w:rsid w:val="4DF571F5"/>
    <w:rsid w:val="4E1F794D"/>
    <w:rsid w:val="4EC1613B"/>
    <w:rsid w:val="4EC8490A"/>
    <w:rsid w:val="4EF94AC3"/>
    <w:rsid w:val="4FD21C04"/>
    <w:rsid w:val="50211613"/>
    <w:rsid w:val="50333690"/>
    <w:rsid w:val="503C5737"/>
    <w:rsid w:val="522031BA"/>
    <w:rsid w:val="52635075"/>
    <w:rsid w:val="529A65BD"/>
    <w:rsid w:val="53920FE3"/>
    <w:rsid w:val="53AD11D5"/>
    <w:rsid w:val="53C2782D"/>
    <w:rsid w:val="53C315D6"/>
    <w:rsid w:val="53C51418"/>
    <w:rsid w:val="54065801"/>
    <w:rsid w:val="54205F92"/>
    <w:rsid w:val="545A2A0D"/>
    <w:rsid w:val="547530A7"/>
    <w:rsid w:val="5625498C"/>
    <w:rsid w:val="569F5623"/>
    <w:rsid w:val="56F91D2C"/>
    <w:rsid w:val="575931ED"/>
    <w:rsid w:val="57F6651F"/>
    <w:rsid w:val="581A61D6"/>
    <w:rsid w:val="582B03E3"/>
    <w:rsid w:val="582E2744"/>
    <w:rsid w:val="5841216B"/>
    <w:rsid w:val="58460DE8"/>
    <w:rsid w:val="584E5E80"/>
    <w:rsid w:val="58602EF0"/>
    <w:rsid w:val="586A08FB"/>
    <w:rsid w:val="58F24A5D"/>
    <w:rsid w:val="593B388B"/>
    <w:rsid w:val="59917F95"/>
    <w:rsid w:val="59DA2B97"/>
    <w:rsid w:val="5A1F5EE9"/>
    <w:rsid w:val="5A2E488E"/>
    <w:rsid w:val="5A8D7C5F"/>
    <w:rsid w:val="5AD66FBE"/>
    <w:rsid w:val="5B21132B"/>
    <w:rsid w:val="5B2A44C3"/>
    <w:rsid w:val="5B563A64"/>
    <w:rsid w:val="5B87226B"/>
    <w:rsid w:val="5C806516"/>
    <w:rsid w:val="5CCF4BF9"/>
    <w:rsid w:val="5CE01333"/>
    <w:rsid w:val="5CE7099B"/>
    <w:rsid w:val="5D28108C"/>
    <w:rsid w:val="5DBD4B9A"/>
    <w:rsid w:val="5E0017BA"/>
    <w:rsid w:val="5E5F0DE7"/>
    <w:rsid w:val="5F322057"/>
    <w:rsid w:val="5F915F1D"/>
    <w:rsid w:val="616C0C12"/>
    <w:rsid w:val="61FB5515"/>
    <w:rsid w:val="62F6339C"/>
    <w:rsid w:val="63490AB8"/>
    <w:rsid w:val="637F4C0F"/>
    <w:rsid w:val="640D6BEF"/>
    <w:rsid w:val="641F4B74"/>
    <w:rsid w:val="64697B8C"/>
    <w:rsid w:val="64852C29"/>
    <w:rsid w:val="651A1EC2"/>
    <w:rsid w:val="65520167"/>
    <w:rsid w:val="65F55B8D"/>
    <w:rsid w:val="6611190F"/>
    <w:rsid w:val="664A65B8"/>
    <w:rsid w:val="66593300"/>
    <w:rsid w:val="666703C9"/>
    <w:rsid w:val="66A45BEB"/>
    <w:rsid w:val="66F75934"/>
    <w:rsid w:val="679159EA"/>
    <w:rsid w:val="68363BAD"/>
    <w:rsid w:val="683939F8"/>
    <w:rsid w:val="68D90EC5"/>
    <w:rsid w:val="693F332E"/>
    <w:rsid w:val="69F84873"/>
    <w:rsid w:val="6A366FE5"/>
    <w:rsid w:val="6A3E686A"/>
    <w:rsid w:val="6A933C89"/>
    <w:rsid w:val="6AF3054E"/>
    <w:rsid w:val="6AF42503"/>
    <w:rsid w:val="6B2D48A6"/>
    <w:rsid w:val="6BB364DE"/>
    <w:rsid w:val="6C2C4242"/>
    <w:rsid w:val="6C917702"/>
    <w:rsid w:val="6CF91899"/>
    <w:rsid w:val="6D793547"/>
    <w:rsid w:val="6E4A0E35"/>
    <w:rsid w:val="6E95728B"/>
    <w:rsid w:val="6EE82732"/>
    <w:rsid w:val="6F677302"/>
    <w:rsid w:val="6F871773"/>
    <w:rsid w:val="702922D7"/>
    <w:rsid w:val="705838E8"/>
    <w:rsid w:val="706A53C9"/>
    <w:rsid w:val="70840239"/>
    <w:rsid w:val="71393E00"/>
    <w:rsid w:val="721F290F"/>
    <w:rsid w:val="72A05A0D"/>
    <w:rsid w:val="72AC1547"/>
    <w:rsid w:val="73025CFD"/>
    <w:rsid w:val="73152BA9"/>
    <w:rsid w:val="739C01A4"/>
    <w:rsid w:val="73D02155"/>
    <w:rsid w:val="73E45210"/>
    <w:rsid w:val="741258A4"/>
    <w:rsid w:val="744A79EB"/>
    <w:rsid w:val="74A0585D"/>
    <w:rsid w:val="74A62465"/>
    <w:rsid w:val="74B17A6A"/>
    <w:rsid w:val="74E120FE"/>
    <w:rsid w:val="75463985"/>
    <w:rsid w:val="75FE74CD"/>
    <w:rsid w:val="76541B6E"/>
    <w:rsid w:val="76685BA2"/>
    <w:rsid w:val="76815C3D"/>
    <w:rsid w:val="76AE54D5"/>
    <w:rsid w:val="76FB4FCD"/>
    <w:rsid w:val="77444BC6"/>
    <w:rsid w:val="784509BF"/>
    <w:rsid w:val="789B6A68"/>
    <w:rsid w:val="78C006B6"/>
    <w:rsid w:val="790847B0"/>
    <w:rsid w:val="7942661A"/>
    <w:rsid w:val="795B2420"/>
    <w:rsid w:val="79C42F77"/>
    <w:rsid w:val="7A2F56B9"/>
    <w:rsid w:val="7A601D17"/>
    <w:rsid w:val="7B436BB5"/>
    <w:rsid w:val="7B7F481D"/>
    <w:rsid w:val="7B8046EA"/>
    <w:rsid w:val="7BF77198"/>
    <w:rsid w:val="7C2D75A3"/>
    <w:rsid w:val="7C3B5DBC"/>
    <w:rsid w:val="7C413FD7"/>
    <w:rsid w:val="7C5C7788"/>
    <w:rsid w:val="7CB24380"/>
    <w:rsid w:val="7D255683"/>
    <w:rsid w:val="7D3021D9"/>
    <w:rsid w:val="7D4D5866"/>
    <w:rsid w:val="7D4F6719"/>
    <w:rsid w:val="7D580FFF"/>
    <w:rsid w:val="7DF47C97"/>
    <w:rsid w:val="7DF60DF7"/>
    <w:rsid w:val="7E130E4E"/>
    <w:rsid w:val="7E372D8F"/>
    <w:rsid w:val="7EC80C9F"/>
    <w:rsid w:val="7F21759B"/>
    <w:rsid w:val="7F48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ascii="宋体" w:hAnsi="宋体" w:eastAsia="宋体" w:cstheme="minorBidi"/>
      <w:kern w:val="2"/>
      <w:sz w:val="24"/>
      <w:szCs w:val="22"/>
      <w:lang w:val="en-US" w:eastAsia="zh-CN" w:bidi="ar-SA"/>
    </w:rPr>
  </w:style>
  <w:style w:type="paragraph" w:styleId="2">
    <w:name w:val="heading 1"/>
    <w:basedOn w:val="1"/>
    <w:next w:val="1"/>
    <w:link w:val="35"/>
    <w:qFormat/>
    <w:uiPriority w:val="9"/>
    <w:pPr>
      <w:keepNext/>
      <w:keepLines/>
      <w:spacing w:line="360" w:lineRule="auto"/>
      <w:jc w:val="center"/>
      <w:outlineLvl w:val="0"/>
    </w:pPr>
    <w:rPr>
      <w:b/>
      <w:bCs/>
      <w:kern w:val="44"/>
      <w:sz w:val="36"/>
      <w:szCs w:val="44"/>
    </w:rPr>
  </w:style>
  <w:style w:type="paragraph" w:styleId="3">
    <w:name w:val="heading 2"/>
    <w:basedOn w:val="1"/>
    <w:next w:val="1"/>
    <w:link w:val="37"/>
    <w:unhideWhenUsed/>
    <w:qFormat/>
    <w:uiPriority w:val="9"/>
    <w:pPr>
      <w:keepNext/>
      <w:keepLines/>
      <w:spacing w:line="360" w:lineRule="auto"/>
      <w:ind w:firstLine="0" w:firstLineChars="0"/>
      <w:outlineLvl w:val="1"/>
    </w:pPr>
    <w:rPr>
      <w:rFonts w:eastAsia="宋体" w:asciiTheme="majorAscii" w:hAnsiTheme="majorAscii" w:cstheme="majorBidi"/>
      <w:b/>
      <w:bCs/>
      <w:sz w:val="28"/>
      <w:szCs w:val="32"/>
    </w:rPr>
  </w:style>
  <w:style w:type="paragraph" w:styleId="4">
    <w:name w:val="heading 3"/>
    <w:basedOn w:val="1"/>
    <w:next w:val="1"/>
    <w:link w:val="46"/>
    <w:unhideWhenUsed/>
    <w:qFormat/>
    <w:uiPriority w:val="9"/>
    <w:pPr>
      <w:keepNext/>
      <w:keepLines/>
      <w:spacing w:line="360" w:lineRule="auto"/>
      <w:ind w:firstLine="0" w:firstLineChars="0"/>
      <w:outlineLvl w:val="2"/>
    </w:pPr>
    <w:rPr>
      <w:rFonts w:ascii="宋体" w:hAnsi="宋体" w:eastAsia="宋体"/>
      <w:b/>
      <w:bCs/>
      <w:sz w:val="24"/>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8">
    <w:name w:val="Default Paragraph Font"/>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44"/>
    <w:autoRedefine/>
    <w:qFormat/>
    <w:uiPriority w:val="0"/>
    <w:pPr>
      <w:spacing w:line="240" w:lineRule="auto"/>
    </w:pPr>
    <w:rPr>
      <w:rFonts w:asciiTheme="minorHAnsi" w:hAnsiTheme="minorHAnsi" w:eastAsiaTheme="minorEastAsia"/>
      <w:sz w:val="21"/>
      <w:szCs w:val="24"/>
    </w:rPr>
  </w:style>
  <w:style w:type="paragraph" w:styleId="9">
    <w:name w:val="Body Text 3"/>
    <w:basedOn w:val="1"/>
    <w:link w:val="40"/>
    <w:autoRedefine/>
    <w:semiHidden/>
    <w:unhideWhenUsed/>
    <w:qFormat/>
    <w:uiPriority w:val="99"/>
    <w:pPr>
      <w:spacing w:after="120"/>
    </w:pPr>
    <w:rPr>
      <w:sz w:val="16"/>
      <w:szCs w:val="16"/>
    </w:rPr>
  </w:style>
  <w:style w:type="paragraph" w:styleId="10">
    <w:name w:val="Body Text"/>
    <w:basedOn w:val="1"/>
    <w:next w:val="6"/>
    <w:link w:val="39"/>
    <w:autoRedefine/>
    <w:unhideWhenUsed/>
    <w:qFormat/>
    <w:uiPriority w:val="99"/>
    <w:pPr>
      <w:spacing w:after="120" w:line="240" w:lineRule="auto"/>
      <w:jc w:val="both"/>
    </w:pPr>
    <w:rPr>
      <w:rFonts w:ascii="Times New Roman" w:hAnsi="Times New Roman" w:cs="Times New Roman"/>
      <w:kern w:val="0"/>
      <w:sz w:val="20"/>
      <w:szCs w:val="20"/>
    </w:rPr>
  </w:style>
  <w:style w:type="paragraph" w:styleId="11">
    <w:name w:val="Body Text Indent"/>
    <w:basedOn w:val="1"/>
    <w:qFormat/>
    <w:uiPriority w:val="0"/>
    <w:pPr>
      <w:ind w:left="853" w:leftChars="406" w:firstLine="490" w:firstLineChars="204"/>
    </w:pPr>
    <w:rPr>
      <w:rFonts w:ascii="宋体" w:hAnsi="宋体"/>
      <w:sz w:val="24"/>
    </w:rPr>
  </w:style>
  <w:style w:type="paragraph" w:styleId="12">
    <w:name w:val="toc 5"/>
    <w:basedOn w:val="1"/>
    <w:next w:val="1"/>
    <w:autoRedefine/>
    <w:unhideWhenUsed/>
    <w:qFormat/>
    <w:uiPriority w:val="39"/>
    <w:pPr>
      <w:ind w:left="960"/>
    </w:pPr>
    <w:rPr>
      <w:rFonts w:asciiTheme="minorHAnsi" w:eastAsiaTheme="minorHAnsi"/>
      <w:sz w:val="18"/>
      <w:szCs w:val="18"/>
    </w:rPr>
  </w:style>
  <w:style w:type="paragraph" w:styleId="13">
    <w:name w:val="toc 3"/>
    <w:basedOn w:val="1"/>
    <w:next w:val="1"/>
    <w:autoRedefine/>
    <w:unhideWhenUsed/>
    <w:qFormat/>
    <w:uiPriority w:val="39"/>
    <w:pPr>
      <w:ind w:left="480"/>
    </w:pPr>
    <w:rPr>
      <w:rFonts w:asciiTheme="minorHAnsi" w:eastAsiaTheme="minorHAnsi"/>
      <w:i/>
      <w:iCs/>
      <w:sz w:val="20"/>
      <w:szCs w:val="20"/>
    </w:rPr>
  </w:style>
  <w:style w:type="paragraph" w:styleId="14">
    <w:name w:val="Plain Text"/>
    <w:basedOn w:val="1"/>
    <w:next w:val="1"/>
    <w:qFormat/>
    <w:uiPriority w:val="0"/>
    <w:rPr>
      <w:rFonts w:ascii="宋体" w:hAnsi="Courier New"/>
    </w:rPr>
  </w:style>
  <w:style w:type="paragraph" w:styleId="15">
    <w:name w:val="toc 8"/>
    <w:basedOn w:val="1"/>
    <w:next w:val="1"/>
    <w:autoRedefine/>
    <w:unhideWhenUsed/>
    <w:qFormat/>
    <w:uiPriority w:val="39"/>
    <w:pPr>
      <w:ind w:left="1680"/>
    </w:pPr>
    <w:rPr>
      <w:rFonts w:asciiTheme="minorHAnsi" w:eastAsiaTheme="minorHAnsi"/>
      <w:sz w:val="18"/>
      <w:szCs w:val="18"/>
    </w:rPr>
  </w:style>
  <w:style w:type="paragraph" w:styleId="16">
    <w:name w:val="footer"/>
    <w:basedOn w:val="1"/>
    <w:link w:val="34"/>
    <w:autoRedefine/>
    <w:unhideWhenUsed/>
    <w:qFormat/>
    <w:uiPriority w:val="99"/>
    <w:pPr>
      <w:tabs>
        <w:tab w:val="center" w:pos="4153"/>
        <w:tab w:val="right" w:pos="8306"/>
      </w:tabs>
      <w:snapToGrid w:val="0"/>
    </w:pPr>
    <w:rPr>
      <w:sz w:val="18"/>
      <w:szCs w:val="18"/>
    </w:rPr>
  </w:style>
  <w:style w:type="paragraph" w:styleId="17">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19">
    <w:name w:val="toc 4"/>
    <w:basedOn w:val="1"/>
    <w:next w:val="1"/>
    <w:autoRedefine/>
    <w:unhideWhenUsed/>
    <w:qFormat/>
    <w:uiPriority w:val="39"/>
    <w:pPr>
      <w:ind w:left="720"/>
    </w:pPr>
    <w:rPr>
      <w:rFonts w:asciiTheme="minorHAnsi" w:eastAsiaTheme="minorHAnsi"/>
      <w:sz w:val="18"/>
      <w:szCs w:val="18"/>
    </w:rPr>
  </w:style>
  <w:style w:type="paragraph" w:styleId="20">
    <w:name w:val="toc 6"/>
    <w:basedOn w:val="1"/>
    <w:next w:val="1"/>
    <w:autoRedefine/>
    <w:unhideWhenUsed/>
    <w:qFormat/>
    <w:uiPriority w:val="39"/>
    <w:pPr>
      <w:ind w:left="1200"/>
    </w:pPr>
    <w:rPr>
      <w:rFonts w:asciiTheme="minorHAnsi" w:eastAsiaTheme="minorHAnsi"/>
      <w:sz w:val="18"/>
      <w:szCs w:val="18"/>
    </w:rPr>
  </w:style>
  <w:style w:type="paragraph" w:styleId="21">
    <w:name w:val="toc 2"/>
    <w:basedOn w:val="1"/>
    <w:next w:val="1"/>
    <w:autoRedefine/>
    <w:unhideWhenUsed/>
    <w:qFormat/>
    <w:uiPriority w:val="39"/>
    <w:pPr>
      <w:ind w:left="240"/>
    </w:pPr>
    <w:rPr>
      <w:rFonts w:asciiTheme="minorHAnsi" w:eastAsiaTheme="minorHAnsi"/>
      <w:smallCaps/>
      <w:sz w:val="20"/>
      <w:szCs w:val="20"/>
    </w:rPr>
  </w:style>
  <w:style w:type="paragraph" w:styleId="22">
    <w:name w:val="toc 9"/>
    <w:basedOn w:val="1"/>
    <w:next w:val="1"/>
    <w:autoRedefine/>
    <w:unhideWhenUsed/>
    <w:qFormat/>
    <w:uiPriority w:val="39"/>
    <w:pPr>
      <w:ind w:left="1920"/>
    </w:pPr>
    <w:rPr>
      <w:rFonts w:asciiTheme="minorHAnsi" w:eastAsiaTheme="minorHAnsi"/>
      <w:sz w:val="18"/>
      <w:szCs w:val="18"/>
    </w:rPr>
  </w:style>
  <w:style w:type="paragraph" w:styleId="23">
    <w:name w:val="Normal (Web)"/>
    <w:basedOn w:val="1"/>
    <w:autoRedefine/>
    <w:qFormat/>
    <w:uiPriority w:val="0"/>
    <w:pPr>
      <w:widowControl/>
      <w:spacing w:before="100" w:beforeAutospacing="1" w:after="100" w:afterAutospacing="1" w:line="240" w:lineRule="auto"/>
    </w:pPr>
    <w:rPr>
      <w:rFonts w:cs="宋体"/>
      <w:kern w:val="0"/>
      <w:szCs w:val="20"/>
    </w:rPr>
  </w:style>
  <w:style w:type="paragraph" w:styleId="24">
    <w:name w:val="annotation subject"/>
    <w:basedOn w:val="8"/>
    <w:next w:val="8"/>
    <w:link w:val="49"/>
    <w:autoRedefine/>
    <w:semiHidden/>
    <w:unhideWhenUsed/>
    <w:qFormat/>
    <w:uiPriority w:val="99"/>
    <w:pPr>
      <w:spacing w:line="360" w:lineRule="auto"/>
    </w:pPr>
    <w:rPr>
      <w:rFonts w:ascii="宋体" w:hAnsi="宋体" w:eastAsia="宋体"/>
      <w:b/>
      <w:bCs/>
      <w:sz w:val="24"/>
      <w:szCs w:val="22"/>
    </w:rPr>
  </w:style>
  <w:style w:type="paragraph" w:styleId="25">
    <w:name w:val="Body Text First Indent 2"/>
    <w:basedOn w:val="11"/>
    <w:unhideWhenUsed/>
    <w:qFormat/>
    <w:uiPriority w:val="99"/>
    <w:pPr>
      <w:ind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basedOn w:val="28"/>
    <w:autoRedefine/>
    <w:unhideWhenUsed/>
    <w:qFormat/>
    <w:uiPriority w:val="99"/>
    <w:rPr>
      <w:color w:val="0563C1" w:themeColor="hyperlink"/>
      <w:u w:val="single"/>
      <w14:textFill>
        <w14:solidFill>
          <w14:schemeClr w14:val="hlink"/>
        </w14:solidFill>
      </w14:textFill>
    </w:rPr>
  </w:style>
  <w:style w:type="character" w:styleId="30">
    <w:name w:val="annotation reference"/>
    <w:basedOn w:val="28"/>
    <w:autoRedefine/>
    <w:semiHidden/>
    <w:unhideWhenUsed/>
    <w:qFormat/>
    <w:uiPriority w:val="99"/>
    <w:rPr>
      <w:sz w:val="21"/>
      <w:szCs w:val="21"/>
    </w:rPr>
  </w:style>
  <w:style w:type="paragraph" w:customStyle="1" w:styleId="31">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
    <w:name w:val="正文缩进2"/>
    <w:basedOn w:val="1"/>
    <w:autoRedefine/>
    <w:qFormat/>
    <w:uiPriority w:val="0"/>
    <w:pPr>
      <w:wordWrap w:val="0"/>
      <w:ind w:firstLine="200" w:firstLineChars="200"/>
    </w:pPr>
  </w:style>
  <w:style w:type="character" w:customStyle="1" w:styleId="33">
    <w:name w:val="页眉 字符"/>
    <w:basedOn w:val="28"/>
    <w:link w:val="17"/>
    <w:autoRedefine/>
    <w:qFormat/>
    <w:uiPriority w:val="99"/>
    <w:rPr>
      <w:rFonts w:eastAsia="宋体"/>
      <w:sz w:val="18"/>
      <w:szCs w:val="18"/>
    </w:rPr>
  </w:style>
  <w:style w:type="character" w:customStyle="1" w:styleId="34">
    <w:name w:val="页脚 字符"/>
    <w:basedOn w:val="28"/>
    <w:link w:val="16"/>
    <w:autoRedefine/>
    <w:qFormat/>
    <w:uiPriority w:val="99"/>
    <w:rPr>
      <w:rFonts w:eastAsia="宋体"/>
      <w:sz w:val="18"/>
      <w:szCs w:val="18"/>
    </w:rPr>
  </w:style>
  <w:style w:type="character" w:customStyle="1" w:styleId="35">
    <w:name w:val="标题 1 字符"/>
    <w:basedOn w:val="28"/>
    <w:link w:val="2"/>
    <w:autoRedefine/>
    <w:qFormat/>
    <w:uiPriority w:val="9"/>
    <w:rPr>
      <w:rFonts w:ascii="宋体" w:hAnsi="宋体" w:eastAsia="宋体"/>
      <w:b/>
      <w:bCs/>
      <w:kern w:val="44"/>
      <w:sz w:val="36"/>
      <w:szCs w:val="44"/>
    </w:rPr>
  </w:style>
  <w:style w:type="paragraph" w:styleId="36">
    <w:name w:val="List Paragraph"/>
    <w:basedOn w:val="1"/>
    <w:link w:val="45"/>
    <w:autoRedefine/>
    <w:qFormat/>
    <w:uiPriority w:val="34"/>
    <w:pPr>
      <w:ind w:firstLine="420" w:firstLineChars="200"/>
    </w:pPr>
  </w:style>
  <w:style w:type="character" w:customStyle="1" w:styleId="37">
    <w:name w:val="标题 2 字符"/>
    <w:basedOn w:val="28"/>
    <w:link w:val="3"/>
    <w:autoRedefine/>
    <w:qFormat/>
    <w:uiPriority w:val="9"/>
    <w:rPr>
      <w:rFonts w:eastAsia="宋体" w:asciiTheme="majorAscii" w:hAnsiTheme="majorAscii" w:cstheme="majorBidi"/>
      <w:b/>
      <w:bCs/>
      <w:sz w:val="28"/>
      <w:szCs w:val="32"/>
    </w:rPr>
  </w:style>
  <w:style w:type="character" w:customStyle="1" w:styleId="38">
    <w:name w:val="未处理的提及1"/>
    <w:basedOn w:val="28"/>
    <w:autoRedefine/>
    <w:semiHidden/>
    <w:unhideWhenUsed/>
    <w:qFormat/>
    <w:uiPriority w:val="99"/>
    <w:rPr>
      <w:color w:val="605E5C"/>
      <w:shd w:val="clear" w:color="auto" w:fill="E1DFDD"/>
    </w:rPr>
  </w:style>
  <w:style w:type="character" w:customStyle="1" w:styleId="39">
    <w:name w:val="正文文本 字符"/>
    <w:basedOn w:val="28"/>
    <w:link w:val="10"/>
    <w:autoRedefine/>
    <w:qFormat/>
    <w:uiPriority w:val="99"/>
    <w:rPr>
      <w:rFonts w:ascii="Times New Roman" w:hAnsi="Times New Roman" w:eastAsia="宋体" w:cs="Times New Roman"/>
      <w:kern w:val="0"/>
      <w:sz w:val="20"/>
      <w:szCs w:val="20"/>
    </w:rPr>
  </w:style>
  <w:style w:type="character" w:customStyle="1" w:styleId="40">
    <w:name w:val="正文文本 3 字符"/>
    <w:basedOn w:val="28"/>
    <w:link w:val="9"/>
    <w:autoRedefine/>
    <w:semiHidden/>
    <w:qFormat/>
    <w:uiPriority w:val="99"/>
    <w:rPr>
      <w:rFonts w:ascii="宋体" w:hAnsi="宋体" w:eastAsia="宋体"/>
      <w:sz w:val="16"/>
      <w:szCs w:val="16"/>
    </w:rPr>
  </w:style>
  <w:style w:type="paragraph" w:customStyle="1" w:styleId="41">
    <w:name w:val="Default"/>
    <w:link w:val="42"/>
    <w:autoRedefine/>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2">
    <w:name w:val="Default Char Char"/>
    <w:link w:val="41"/>
    <w:autoRedefine/>
    <w:qFormat/>
    <w:uiPriority w:val="0"/>
    <w:rPr>
      <w:rFonts w:ascii=".." w:hAnsi="Times New Roman" w:eastAsia=".." w:cs="Times New Roman"/>
      <w:color w:val="000000"/>
      <w:kern w:val="0"/>
      <w:sz w:val="24"/>
      <w:szCs w:val="24"/>
    </w:rPr>
  </w:style>
  <w:style w:type="paragraph" w:styleId="43">
    <w:name w:val="No Spacing"/>
    <w:link w:val="48"/>
    <w:autoRedefine/>
    <w:qFormat/>
    <w:uiPriority w:val="1"/>
    <w:pPr>
      <w:widowControl w:val="0"/>
    </w:pPr>
    <w:rPr>
      <w:rFonts w:ascii="宋体" w:hAnsi="宋体" w:eastAsia="宋体" w:cstheme="minorBidi"/>
      <w:kern w:val="2"/>
      <w:sz w:val="21"/>
      <w:szCs w:val="22"/>
      <w:lang w:val="en-US" w:eastAsia="zh-CN" w:bidi="ar-SA"/>
    </w:rPr>
  </w:style>
  <w:style w:type="character" w:customStyle="1" w:styleId="44">
    <w:name w:val="批注文字 字符"/>
    <w:basedOn w:val="28"/>
    <w:link w:val="8"/>
    <w:autoRedefine/>
    <w:qFormat/>
    <w:uiPriority w:val="0"/>
    <w:rPr>
      <w:szCs w:val="24"/>
    </w:rPr>
  </w:style>
  <w:style w:type="character" w:customStyle="1" w:styleId="45">
    <w:name w:val="列表段落 字符"/>
    <w:link w:val="36"/>
    <w:autoRedefine/>
    <w:qFormat/>
    <w:uiPriority w:val="34"/>
    <w:rPr>
      <w:rFonts w:ascii="宋体" w:hAnsi="宋体" w:eastAsia="宋体"/>
      <w:sz w:val="24"/>
    </w:rPr>
  </w:style>
  <w:style w:type="character" w:customStyle="1" w:styleId="46">
    <w:name w:val="标题 3 字符"/>
    <w:basedOn w:val="28"/>
    <w:link w:val="4"/>
    <w:autoRedefine/>
    <w:qFormat/>
    <w:uiPriority w:val="9"/>
    <w:rPr>
      <w:rFonts w:ascii="宋体" w:hAnsi="宋体" w:eastAsia="宋体"/>
      <w:b/>
      <w:bCs/>
      <w:sz w:val="24"/>
      <w:szCs w:val="32"/>
    </w:rPr>
  </w:style>
  <w:style w:type="character" w:customStyle="1" w:styleId="47">
    <w:name w:val="标题 4 字符"/>
    <w:basedOn w:val="28"/>
    <w:link w:val="5"/>
    <w:autoRedefine/>
    <w:qFormat/>
    <w:uiPriority w:val="9"/>
    <w:rPr>
      <w:rFonts w:eastAsia="宋体" w:asciiTheme="majorHAnsi" w:hAnsiTheme="majorHAnsi" w:cstheme="majorBidi"/>
      <w:b/>
      <w:bCs/>
      <w:sz w:val="28"/>
      <w:szCs w:val="28"/>
    </w:rPr>
  </w:style>
  <w:style w:type="character" w:customStyle="1" w:styleId="48">
    <w:name w:val="无间隔 字符"/>
    <w:link w:val="43"/>
    <w:autoRedefine/>
    <w:qFormat/>
    <w:uiPriority w:val="1"/>
    <w:rPr>
      <w:rFonts w:ascii="宋体" w:hAnsi="宋体" w:eastAsia="宋体"/>
    </w:rPr>
  </w:style>
  <w:style w:type="character" w:customStyle="1" w:styleId="49">
    <w:name w:val="批注主题 字符"/>
    <w:basedOn w:val="44"/>
    <w:link w:val="24"/>
    <w:autoRedefine/>
    <w:semiHidden/>
    <w:qFormat/>
    <w:uiPriority w:val="99"/>
    <w:rPr>
      <w:rFonts w:ascii="宋体" w:hAnsi="宋体" w:eastAsia="宋体"/>
      <w:b/>
      <w:bCs/>
      <w:kern w:val="2"/>
      <w:sz w:val="24"/>
      <w:szCs w:val="22"/>
    </w:rPr>
  </w:style>
  <w:style w:type="table" w:customStyle="1" w:styleId="50">
    <w:name w:val="Table Normal"/>
    <w:qFormat/>
    <w:uiPriority w:val="0"/>
    <w:tblPr>
      <w:tblCellMar>
        <w:top w:w="0" w:type="dxa"/>
        <w:left w:w="0" w:type="dxa"/>
        <w:bottom w:w="0" w:type="dxa"/>
        <w:right w:w="0" w:type="dxa"/>
      </w:tblCellMar>
    </w:tblPr>
  </w:style>
  <w:style w:type="paragraph" w:customStyle="1" w:styleId="51">
    <w:name w:val="WPSOffice手动目录 1"/>
    <w:qFormat/>
    <w:uiPriority w:val="0"/>
    <w:pPr>
      <w:ind w:leftChars="0"/>
    </w:pPr>
    <w:rPr>
      <w:rFonts w:asciiTheme="minorHAnsi" w:hAnsiTheme="minorHAnsi" w:eastAsiaTheme="minorEastAsia" w:cstheme="minorBidi"/>
      <w:sz w:val="20"/>
      <w:szCs w:val="20"/>
    </w:rPr>
  </w:style>
  <w:style w:type="paragraph" w:customStyle="1" w:styleId="52">
    <w:name w:val="WPSOffice手动目录 2"/>
    <w:qFormat/>
    <w:uiPriority w:val="0"/>
    <w:pPr>
      <w:ind w:leftChars="200"/>
    </w:pPr>
    <w:rPr>
      <w:rFonts w:asciiTheme="minorHAnsi" w:hAnsiTheme="minorHAnsi" w:eastAsiaTheme="minorEastAsia" w:cstheme="minorBidi"/>
      <w:sz w:val="20"/>
      <w:szCs w:val="20"/>
    </w:rPr>
  </w:style>
  <w:style w:type="paragraph" w:customStyle="1" w:styleId="53">
    <w:name w:val="表格文字"/>
    <w:basedOn w:val="1"/>
    <w:next w:val="1"/>
    <w:autoRedefine/>
    <w:qFormat/>
    <w:uiPriority w:val="99"/>
    <w:rPr>
      <w:rFonts w:ascii="Calibri" w:hAnsi="Calibri"/>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12806</Words>
  <Characters>13842</Characters>
  <Lines>294</Lines>
  <Paragraphs>82</Paragraphs>
  <TotalTime>17</TotalTime>
  <ScaleCrop>false</ScaleCrop>
  <LinksUpToDate>false</LinksUpToDate>
  <CharactersWithSpaces>14025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彭梦青</cp:lastModifiedBy>
  <dcterms:modified xsi:type="dcterms:W3CDTF">2025-06-20T03:18:38Z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1867B55F7FB94FC5B9EC748B7F2939F4_13</vt:lpwstr>
  </property>
  <property fmtid="{D5CDD505-2E9C-101B-9397-08002B2CF9AE}" pid="4" name="KSOTemplateDocerSaveRecord">
    <vt:lpwstr>eyJoZGlkIjoiZjI4NmViM2IwZDA1YTRjOWRmZjJjNGEzM2ZjNWJjODkiLCJ1c2VySWQiOiIyNDIwNTQxODMifQ==</vt:lpwstr>
  </property>
</Properties>
</file>